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9338E">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4"/>
          <w:szCs w:val="14"/>
        </w:rPr>
      </w:pPr>
      <w:bookmarkStart w:id="0" w:name="_GoBack"/>
      <w:r>
        <w:rPr>
          <w:rStyle w:val="5"/>
          <w:rFonts w:ascii="黑体" w:hAnsi="宋体" w:eastAsia="黑体" w:cs="黑体"/>
          <w:i w:val="0"/>
          <w:iCs w:val="0"/>
          <w:caps w:val="0"/>
          <w:color w:val="FF0000"/>
          <w:spacing w:val="0"/>
          <w:sz w:val="36"/>
          <w:szCs w:val="36"/>
          <w:shd w:val="clear" w:fill="FFFFFF"/>
        </w:rPr>
        <w:t>2025年度全国教育科学规划高校毕业生就业研究专项申报公告</w:t>
      </w:r>
    </w:p>
    <w:bookmarkEnd w:id="0"/>
    <w:p w14:paraId="7023CD48">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4"/>
          <w:szCs w:val="14"/>
        </w:rPr>
      </w:pPr>
      <w:r>
        <w:rPr>
          <w:rFonts w:hint="eastAsia" w:ascii="仿宋" w:hAnsi="仿宋" w:eastAsia="仿宋" w:cs="仿宋"/>
          <w:i w:val="0"/>
          <w:iCs w:val="0"/>
          <w:caps w:val="0"/>
          <w:color w:val="666666"/>
          <w:spacing w:val="0"/>
          <w:sz w:val="14"/>
          <w:szCs w:val="14"/>
          <w:shd w:val="clear" w:fill="FFFFFF"/>
        </w:rPr>
        <w:t>　来源：全国教育科学规划领导小组办公室    发表时间：2025-04-25   阅读次数：2885   作者：全国教育科学规划领导小组办公室</w:t>
      </w:r>
    </w:p>
    <w:p w14:paraId="2D2445FC">
      <w:pPr>
        <w:pStyle w:val="2"/>
        <w:keepNext w:val="0"/>
        <w:keepLines w:val="0"/>
        <w:widowControl/>
        <w:suppressLineNumbers w:val="0"/>
        <w:shd w:val="clear" w:fill="FFFFFF"/>
        <w:ind w:left="0" w:firstLine="0"/>
        <w:jc w:val="left"/>
        <w:rPr>
          <w:rFonts w:hint="eastAsia" w:ascii="仿宋" w:hAnsi="仿宋" w:eastAsia="仿宋" w:cs="仿宋"/>
          <w:i w:val="0"/>
          <w:iCs w:val="0"/>
          <w:caps w:val="0"/>
          <w:color w:val="3A3A3A"/>
          <w:spacing w:val="0"/>
          <w:sz w:val="14"/>
          <w:szCs w:val="14"/>
        </w:rPr>
      </w:pPr>
      <w:r>
        <w:rPr>
          <w:rFonts w:ascii="仿宋_GB2312" w:hAnsi="仿宋_GB2312" w:eastAsia="仿宋_GB2312" w:cs="仿宋_GB2312"/>
          <w:i w:val="0"/>
          <w:iCs w:val="0"/>
          <w:caps w:val="0"/>
          <w:color w:val="5D6264"/>
          <w:spacing w:val="0"/>
          <w:sz w:val="21"/>
          <w:szCs w:val="21"/>
          <w:shd w:val="clear" w:fill="FFFFFF"/>
        </w:rPr>
        <w:t>    为做好2025年度全国教育科学规划高校毕业生就业研究专项（以下简称就业专项）申报工作，现就有关事项公告如下。</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一、专项目的</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就业专项立足高等教育人才培养与经济社会发展需求供需适配，重点资助高校毕业生就业领域的重要理论和现实问题研究，为加快构建高校毕业生高质量就业服务体系，完善高校学科设置调整机制和人才培养模式，促进高校毕业生高质量充分就业提供决策支撑。</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二、选题指南</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申报就业专项须从条目中选题，并按照指南要求开展研究，自拟选题不予受理。原则上每个选题只确立1个立项项目。</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三、资助额度</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就业专项的类别和资助额度分别为：重点项目，每项资助35万元；一般项目，每项资助20万元。</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四、申报条件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（一）项目申请人须具备下列条件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1.申请人须遵守中华人民共和国宪法和法律，坚持正确的政治方向、价值取向和研究导向，遵守全国教育科学规划有关管理规定。</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2.就业专项主要面向高等院校，部委直属单位，省级以上研究机构、党校（行政学院）等机构的研究人员申报。</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3.申请重点项目、一般项目，均须具有副高级以上（含）专业技术职称，或者具有博士学位。</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4.申请人或团队主要成员要具有就业指导与服务的工作背景或从事与就业有关的研究工作。</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5.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6.凡以博士学位论文或博士后出站报告为基础申报本次就业专项，须在《全国教育科学规划项目申请书》（以下简称《申请书》）中，注明所申请项目与学位论文（出站报告）的联系和区别。申请鉴定结项时须提交学位论文（出站报告）原件。不得以已出版的内容基本相同的研究成果申请就业专项。</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（二）项目申请人所在单位须具备下列条件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1.在相关领域具有较强的师资队伍、科研力量和扎实的学术积累，或丰富的实践经验。</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2.设有专门负责科研管理工作的职能部门。</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3.能够为开展研究工作提供必要条件，并承诺信誉保证。</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五、申报要求</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1.就业专项申报</w:t>
      </w:r>
      <w:r>
        <w:rPr>
          <w:rStyle w:val="5"/>
          <w:rFonts w:hint="eastAsia" w:ascii="仿宋_GB2312" w:hAnsi="仿宋_GB2312" w:eastAsia="仿宋_GB2312" w:cs="仿宋_GB2312"/>
          <w:i w:val="0"/>
          <w:iCs w:val="0"/>
          <w:caps w:val="0"/>
          <w:color w:val="5D6264"/>
          <w:spacing w:val="0"/>
          <w:sz w:val="21"/>
          <w:szCs w:val="21"/>
          <w:shd w:val="clear" w:fill="FFFFFF"/>
        </w:rPr>
        <w:t>不限额</w:t>
      </w:r>
      <w:r>
        <w:rPr>
          <w:rFonts w:hint="eastAsia" w:ascii="仿宋_GB2312" w:hAnsi="仿宋_GB2312" w:eastAsia="仿宋_GB2312" w:cs="仿宋_GB2312"/>
          <w:i w:val="0"/>
          <w:iCs w:val="0"/>
          <w:caps w:val="0"/>
          <w:color w:val="5D6264"/>
          <w:spacing w:val="0"/>
          <w:sz w:val="21"/>
          <w:szCs w:val="21"/>
          <w:shd w:val="clear" w:fill="FFFFFF"/>
        </w:rPr>
        <w:t>。各二级管理机构和申请单位要着力提高申报质量，宁缺毋滥。</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专项研究年限为1-2年，不得延期。一般项目研究期限为1年，要求至少1篇决策咨询报告被《全国教育科学规划课题成果要报》刊发、或被专项合作单位及以上领导肯定性批示、或被专项合作单位及以上党政机关的内刊刊发。重点项目研究期限为2年，除上述要求外，同时至少发表1篇核心期刊（或SCI、SSCI、CSSCI、A&amp;HCI）论文。重点项目的成果要求须高于一般项目，成果形式、数量和级别与资助金额和研究年限相匹配。</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3.申请人应按照《全国教育科学规划管理办法》和《全国教育科学规划课题资金管理办法》（详见我办网站）的要求，根据实际需要编制科学合理的经费预算。</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4.申请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六、工作安排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本次就业专项实行网络申报。“全国教育科学规划管理平台”（</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"https://202.205.185.227/"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https://202.205.185.227/</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1. 申报时间安排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2. 审核时间安排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3. 报送纸质材料时间安排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《申请书》《活页》和《申报数据汇总表》均</w:t>
      </w:r>
      <w:r>
        <w:rPr>
          <w:rStyle w:val="5"/>
          <w:rFonts w:hint="eastAsia" w:ascii="仿宋_GB2312" w:hAnsi="仿宋_GB2312" w:eastAsia="仿宋_GB2312" w:cs="仿宋_GB2312"/>
          <w:i w:val="0"/>
          <w:iCs w:val="0"/>
          <w:caps w:val="0"/>
          <w:color w:val="5D6264"/>
          <w:spacing w:val="0"/>
          <w:sz w:val="21"/>
          <w:szCs w:val="21"/>
          <w:shd w:val="clear" w:fill="FFFFFF"/>
        </w:rPr>
        <w:t>无需寄送纸质版</w:t>
      </w:r>
      <w:r>
        <w:rPr>
          <w:rFonts w:hint="eastAsia" w:ascii="仿宋_GB2312" w:hAnsi="仿宋_GB2312" w:eastAsia="仿宋_GB2312" w:cs="仿宋_GB2312"/>
          <w:i w:val="0"/>
          <w:iCs w:val="0"/>
          <w:caps w:val="0"/>
          <w:color w:val="5D6264"/>
          <w:spacing w:val="0"/>
          <w:sz w:val="21"/>
          <w:szCs w:val="21"/>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若有问题需咨询，请先查看《2025年度全国教育科学规划各类项目申报常见问题答疑》和《</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"https://202.205.185.227/indexAction!do_downLoad.action?fId=ff8080818f527e3a018f5b2a02b21127"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全国教育科学规划管理平台操作手册-其他类别项目申报</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》。再有疑问，二级管理单位咨询全规办，地方高校请先咨询省级教育规划办（省级教育规划办电话请上管理平台的“通知公告”栏目查询）。</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全规办咨询电话：010—62003471、62003308；</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平台系统及技术问题请咨询400-800-1636，电子信箱：</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"mailto:support@e-plugger.com%E3%80%82"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single"/>
          <w:shd w:val="clear" w:fill="FFFFFF"/>
        </w:rPr>
        <w:t>support@e-plugger.com。</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邮寄地址：北京市海淀区北三环中路46号全国教育科学规划领导小组办公室。邮政编码：100088。</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p>
    <w:p w14:paraId="0129FF3B">
      <w:pPr>
        <w:keepNext w:val="0"/>
        <w:keepLines w:val="0"/>
        <w:widowControl/>
        <w:suppressLineNumbers w:val="0"/>
        <w:shd w:val="clear" w:fill="FFFFFF"/>
        <w:ind w:left="0" w:firstLine="0"/>
        <w:jc w:val="right"/>
        <w:rPr>
          <w:rFonts w:hint="eastAsia" w:ascii="仿宋" w:hAnsi="仿宋" w:eastAsia="仿宋" w:cs="仿宋"/>
          <w:i w:val="0"/>
          <w:iCs w:val="0"/>
          <w:caps w:val="0"/>
          <w:color w:val="3A3A3A"/>
          <w:spacing w:val="0"/>
          <w:sz w:val="14"/>
          <w:szCs w:val="14"/>
        </w:rPr>
      </w:pP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t> 全国教育科学规划领导小组办公室</w:t>
      </w: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t>                        2025年4月25日</w:t>
      </w:r>
    </w:p>
    <w:p w14:paraId="55549A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6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2025-04-25T10:09:56Z</dcterms:created>
  <dc:creator>Administrator</dc:creator>
  <cp:lastModifiedBy>企业用户_479758458</cp:lastModifiedBy>
  <dcterms:modified xsi:type="dcterms:W3CDTF">2025-04-25T10:10:04Z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874392BB137A4D14BE64AD7EB5B9D077_12</vt:lpwstr>
  </property>
</Properties>
</file>