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460" w:lineRule="exact"/>
        <w:jc w:val="center"/>
        <w:rPr>
          <w:sz w:val="36"/>
          <w:szCs w:val="32"/>
        </w:rPr>
      </w:pPr>
      <w:bookmarkStart w:id="0" w:name="_Toc7351"/>
      <w:r>
        <w:rPr>
          <w:rFonts w:hint="eastAsia"/>
          <w:sz w:val="36"/>
          <w:szCs w:val="32"/>
        </w:rPr>
        <w:t>马克思主义学院研究生奖学金评定办法</w:t>
      </w:r>
      <w:bookmarkEnd w:id="0"/>
    </w:p>
    <w:p>
      <w:pPr>
        <w:spacing w:line="460" w:lineRule="exact"/>
        <w:ind w:firstLine="560" w:firstLineChars="200"/>
        <w:rPr>
          <w:rFonts w:ascii="仿宋" w:hAnsi="仿宋" w:eastAsia="仿宋" w:cs="宋体"/>
          <w:sz w:val="28"/>
          <w:szCs w:val="28"/>
        </w:rPr>
      </w:pPr>
      <w:r>
        <w:rPr>
          <w:rFonts w:hint="eastAsia" w:ascii="仿宋" w:hAnsi="仿宋" w:eastAsia="仿宋"/>
          <w:sz w:val="28"/>
          <w:szCs w:val="28"/>
        </w:rPr>
        <w:t>为了进一步提高研究生培养质量，激励研究生积极参与科学研究和社会实践，全面提高综合素质，充分调动导师和研究生的积极性与主动性，形成良好的研究生激励机制和约束机制，根据《武汉理工大学研究生奖助学金体系改革方案》（校研字〔20</w:t>
      </w:r>
      <w:r>
        <w:rPr>
          <w:rFonts w:ascii="仿宋" w:hAnsi="仿宋" w:eastAsia="仿宋"/>
          <w:sz w:val="28"/>
          <w:szCs w:val="28"/>
        </w:rPr>
        <w:t>22</w:t>
      </w:r>
      <w:r>
        <w:rPr>
          <w:rFonts w:hint="eastAsia" w:ascii="仿宋" w:hAnsi="仿宋" w:eastAsia="仿宋"/>
          <w:sz w:val="28"/>
          <w:szCs w:val="28"/>
        </w:rPr>
        <w:t>〕</w:t>
      </w:r>
      <w:r>
        <w:rPr>
          <w:rFonts w:ascii="仿宋" w:hAnsi="仿宋" w:eastAsia="仿宋"/>
          <w:sz w:val="28"/>
          <w:szCs w:val="28"/>
        </w:rPr>
        <w:t>36</w:t>
      </w:r>
      <w:r>
        <w:rPr>
          <w:rFonts w:hint="eastAsia" w:ascii="仿宋" w:hAnsi="仿宋" w:eastAsia="仿宋"/>
          <w:sz w:val="28"/>
          <w:szCs w:val="28"/>
        </w:rPr>
        <w:t>号）、《武汉理工大学研究生奖学金管理办法》（校研字</w:t>
      </w:r>
      <w:r>
        <w:rPr>
          <w:rFonts w:hint="eastAsia" w:ascii="仿宋" w:hAnsi="仿宋" w:eastAsia="仿宋" w:cs="仿宋_GB2312"/>
          <w:sz w:val="28"/>
          <w:szCs w:val="28"/>
        </w:rPr>
        <w:t>〔</w:t>
      </w:r>
      <w:r>
        <w:rPr>
          <w:rFonts w:ascii="仿宋" w:hAnsi="仿宋" w:eastAsia="仿宋" w:cs="仿宋_GB2312"/>
          <w:sz w:val="28"/>
          <w:szCs w:val="28"/>
        </w:rPr>
        <w:t>2022</w:t>
      </w:r>
      <w:r>
        <w:rPr>
          <w:rFonts w:hint="eastAsia" w:ascii="仿宋" w:hAnsi="仿宋" w:eastAsia="仿宋" w:cs="仿宋_GB2312"/>
          <w:sz w:val="28"/>
          <w:szCs w:val="28"/>
        </w:rPr>
        <w:t>〕</w:t>
      </w:r>
      <w:r>
        <w:rPr>
          <w:rFonts w:ascii="仿宋" w:hAnsi="仿宋" w:eastAsia="仿宋" w:cs="仿宋_GB2312"/>
          <w:sz w:val="28"/>
          <w:szCs w:val="28"/>
        </w:rPr>
        <w:t>34</w:t>
      </w:r>
      <w:r>
        <w:rPr>
          <w:rFonts w:hint="eastAsia" w:ascii="仿宋" w:hAnsi="仿宋" w:eastAsia="仿宋" w:cs="仿宋_GB2312"/>
          <w:sz w:val="28"/>
          <w:szCs w:val="28"/>
        </w:rPr>
        <w:t>号</w:t>
      </w:r>
      <w:r>
        <w:rPr>
          <w:rFonts w:hint="eastAsia" w:ascii="仿宋" w:hAnsi="仿宋" w:eastAsia="仿宋"/>
          <w:sz w:val="28"/>
          <w:szCs w:val="28"/>
        </w:rPr>
        <w:t>）等文件精神与相关要求，结合学院实际情况，特制定本办法对研究生国家奖学金、研究生学业奖学金</w:t>
      </w:r>
      <w:r>
        <w:rPr>
          <w:rFonts w:hint="eastAsia" w:ascii="仿宋" w:hAnsi="仿宋" w:eastAsia="仿宋" w:cs="宋体"/>
          <w:sz w:val="28"/>
          <w:szCs w:val="28"/>
        </w:rPr>
        <w:t>进行评定。具体办法如下：</w:t>
      </w:r>
    </w:p>
    <w:p>
      <w:pPr>
        <w:pStyle w:val="3"/>
        <w:spacing w:before="156" w:beforeLines="50" w:after="156" w:afterLines="50" w:line="460" w:lineRule="exact"/>
        <w:ind w:firstLine="200"/>
        <w:rPr>
          <w:rFonts w:ascii="仿宋" w:hAnsi="仿宋" w:eastAsia="仿宋"/>
          <w:bCs w:val="0"/>
          <w:sz w:val="28"/>
          <w:szCs w:val="28"/>
        </w:rPr>
      </w:pPr>
      <w:r>
        <w:rPr>
          <w:rFonts w:hint="eastAsia" w:ascii="仿宋" w:hAnsi="仿宋" w:eastAsia="仿宋"/>
          <w:bCs w:val="0"/>
          <w:sz w:val="28"/>
          <w:szCs w:val="28"/>
        </w:rPr>
        <w:t>一、评审组织</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1、学院成立马克思主义学院研究生奖学金评审委员会 （以下简称评委会），负责学院研究生各类奖学金评审条件和细则的制定，负责奖学金申请及申报材料的审核与评定。评委会由学院院长和党委书记担任组长，分管研究生工作的副院长和分管学生工作的党委副书记担任副组长，委员由学院纪委书记、研究生工作办公室主任、学生工作办公室主任、研究生辅导员、研究生导师代表和研究生代表构成。委员会负责制定学院研究生奖学金申请及评审的具体条件和评审细则，并组织开展评审工作。分管研究生工作的副院长、研究生工作办公室负责研究生论文、课业成绩等学术条件审核，学院党委副书记、学生工作办公室负责研究生的思想品德、社会集体活动参与情况等非学术条件的审核及评审组织工作。</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2、各班成立奖学金评定小组，负责申请材料的数据核算。班级评定小组由各班班长、党支部书记、组织委员、宣传委员、学生代表组成。</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3、评审委员会成员在履行评审工作职责时应遵循以下原则：</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①平等原则，即在评审过程中，积极听取其他委员的意见，平等协商提出评审意见；</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②回避原则，即如存在与评审对象有亲属关系、直接经济利益关系或其他可能影响评审工作公平公正的情形时，应主动向评审委员会申请回避；</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③公正原则，即不得利用评审委员的特殊身份和影响力，单独或与有关人员共同为评审对象提供获奖便利；</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④保密原则，即不得擅自披露评审结果及其他评审委员的意见等相关保密信息。</w:t>
      </w:r>
    </w:p>
    <w:p>
      <w:pPr>
        <w:pStyle w:val="3"/>
        <w:spacing w:before="156" w:beforeLines="50" w:after="156" w:afterLines="50" w:line="460" w:lineRule="exact"/>
        <w:rPr>
          <w:rFonts w:ascii="仿宋" w:hAnsi="仿宋" w:eastAsia="仿宋"/>
          <w:bCs w:val="0"/>
          <w:sz w:val="28"/>
          <w:szCs w:val="28"/>
        </w:rPr>
      </w:pPr>
      <w:r>
        <w:rPr>
          <w:rFonts w:hint="eastAsia" w:ascii="仿宋" w:hAnsi="仿宋" w:eastAsia="仿宋"/>
          <w:bCs w:val="0"/>
          <w:sz w:val="28"/>
          <w:szCs w:val="28"/>
        </w:rPr>
        <w:t>二、研究生国家奖学金评定办法</w:t>
      </w:r>
    </w:p>
    <w:p>
      <w:pPr>
        <w:spacing w:line="460" w:lineRule="exact"/>
        <w:ind w:firstLine="560" w:firstLineChars="200"/>
        <w:rPr>
          <w:rFonts w:cs="仿宋"/>
        </w:rPr>
      </w:pPr>
      <w:r>
        <w:rPr>
          <w:rFonts w:ascii="仿宋" w:hAnsi="仿宋" w:eastAsia="仿宋"/>
          <w:sz w:val="28"/>
          <w:szCs w:val="28"/>
        </w:rPr>
        <w:t>博士研究生国家奖学金奖励标准</w:t>
      </w:r>
      <w:r>
        <w:rPr>
          <w:rFonts w:hint="eastAsia" w:ascii="仿宋" w:hAnsi="仿宋" w:eastAsia="仿宋"/>
          <w:sz w:val="28"/>
          <w:szCs w:val="28"/>
        </w:rPr>
        <w:t>为每生每年3万元，详见学部《武汉理工大学人文与社会科学学部博士研究生国家奖学金评选办法（暂行）》，</w:t>
      </w:r>
      <w:r>
        <w:rPr>
          <w:rFonts w:ascii="仿宋" w:hAnsi="仿宋" w:eastAsia="仿宋"/>
          <w:sz w:val="28"/>
          <w:szCs w:val="28"/>
        </w:rPr>
        <w:t>硕士研究生国家奖学金奖励标准为每生每年2万元。</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（一）参评对象及参评条件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1、本办法的评定范围为获得武汉理工大学学籍的全日制研究生，委托培养研究生、联合培养研究生、定向（非少骨）、非全日制专业学位研究生不在参评范围内。</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2、热爱社会主义祖国，拥护中国共产党的领导；遵守宪法和法律，遵守高等学校规章制度；诚实守信，道德品质优良。</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3、学习成绩优秀，本学年度课程平均成绩85分以上（含85分）或者位列一级学科专业前30%（小数点四舍五入取整数名次），单科成绩不低于75分。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4、有以下情况之一者不能参加该年度研究生国家奖学金的评定：</w:t>
      </w:r>
    </w:p>
    <w:p>
      <w:pPr>
        <w:pStyle w:val="5"/>
        <w:adjustRightInd w:val="0"/>
        <w:snapToGrid w:val="0"/>
        <w:spacing w:line="440" w:lineRule="exact"/>
        <w:ind w:firstLine="560"/>
        <w:rPr>
          <w:rFonts w:ascii="仿宋" w:hAnsi="仿宋" w:eastAsia="仿宋"/>
          <w:sz w:val="28"/>
          <w:szCs w:val="28"/>
        </w:rPr>
      </w:pPr>
      <w:r>
        <w:rPr>
          <w:rFonts w:hint="eastAsia" w:ascii="仿宋" w:hAnsi="仿宋" w:eastAsia="仿宋"/>
          <w:sz w:val="28"/>
          <w:szCs w:val="28"/>
        </w:rPr>
        <w:t>①参加非法组织及活动，触犯国家法律法规或该学年受到党、团、行政警告及以上处分者（含通报批评）；</w:t>
      </w:r>
    </w:p>
    <w:p>
      <w:pPr>
        <w:pStyle w:val="5"/>
        <w:spacing w:line="440" w:lineRule="exact"/>
        <w:ind w:firstLine="560"/>
        <w:rPr>
          <w:rFonts w:ascii="仿宋" w:hAnsi="仿宋" w:eastAsia="仿宋"/>
          <w:sz w:val="28"/>
          <w:szCs w:val="28"/>
        </w:rPr>
      </w:pPr>
      <w:r>
        <w:rPr>
          <w:rFonts w:hint="eastAsia" w:ascii="仿宋" w:hAnsi="仿宋" w:eastAsia="仿宋"/>
          <w:sz w:val="28"/>
          <w:szCs w:val="28"/>
        </w:rPr>
        <w:t>②本学年课程有过不及格或未通过研究生中期筛选者；</w:t>
      </w:r>
    </w:p>
    <w:p>
      <w:pPr>
        <w:pStyle w:val="5"/>
        <w:spacing w:line="440" w:lineRule="exact"/>
        <w:ind w:firstLine="560"/>
        <w:rPr>
          <w:rFonts w:ascii="仿宋" w:hAnsi="仿宋" w:eastAsia="仿宋"/>
          <w:sz w:val="28"/>
          <w:szCs w:val="28"/>
        </w:rPr>
      </w:pPr>
      <w:r>
        <w:rPr>
          <w:rFonts w:hint="eastAsia" w:ascii="仿宋" w:hAnsi="仿宋" w:eastAsia="仿宋"/>
          <w:sz w:val="28"/>
          <w:szCs w:val="28"/>
        </w:rPr>
        <w:t>③按当年培养计划未修满所有学分；</w:t>
      </w:r>
    </w:p>
    <w:p>
      <w:pPr>
        <w:pStyle w:val="5"/>
        <w:spacing w:line="440" w:lineRule="exact"/>
        <w:ind w:firstLine="560"/>
        <w:rPr>
          <w:rFonts w:ascii="仿宋" w:hAnsi="仿宋" w:eastAsia="仿宋"/>
          <w:sz w:val="28"/>
          <w:szCs w:val="28"/>
        </w:rPr>
      </w:pPr>
      <w:r>
        <w:rPr>
          <w:rFonts w:hint="eastAsia" w:ascii="仿宋" w:hAnsi="仿宋" w:eastAsia="仿宋"/>
          <w:sz w:val="28"/>
          <w:szCs w:val="28"/>
        </w:rPr>
        <w:t>④学年度未公开发表学术论文者；</w:t>
      </w:r>
    </w:p>
    <w:p>
      <w:pPr>
        <w:pStyle w:val="5"/>
        <w:spacing w:line="440" w:lineRule="exact"/>
        <w:ind w:firstLine="560"/>
        <w:rPr>
          <w:rFonts w:ascii="仿宋" w:hAnsi="仿宋" w:eastAsia="仿宋"/>
          <w:sz w:val="28"/>
          <w:szCs w:val="28"/>
        </w:rPr>
      </w:pPr>
      <w:r>
        <w:rPr>
          <w:rFonts w:hint="eastAsia" w:ascii="仿宋" w:hAnsi="仿宋" w:eastAsia="仿宋"/>
          <w:sz w:val="28"/>
          <w:szCs w:val="28"/>
        </w:rPr>
        <w:t>⑤本学年研究生“三助”考核不合格者；</w:t>
      </w:r>
    </w:p>
    <w:p>
      <w:pPr>
        <w:pStyle w:val="5"/>
        <w:spacing w:line="440" w:lineRule="exact"/>
        <w:ind w:firstLine="560"/>
        <w:rPr>
          <w:rFonts w:ascii="仿宋" w:hAnsi="仿宋" w:eastAsia="仿宋"/>
          <w:sz w:val="28"/>
          <w:szCs w:val="28"/>
        </w:rPr>
      </w:pPr>
      <w:r>
        <w:rPr>
          <w:rFonts w:hint="eastAsia" w:ascii="仿宋" w:hAnsi="仿宋" w:eastAsia="仿宋"/>
          <w:sz w:val="28"/>
          <w:szCs w:val="28"/>
        </w:rPr>
        <w:t>⑥评奖过程中弄虚作假者；</w:t>
      </w:r>
    </w:p>
    <w:p>
      <w:pPr>
        <w:pStyle w:val="5"/>
        <w:spacing w:line="440" w:lineRule="exact"/>
        <w:ind w:firstLine="560"/>
        <w:rPr>
          <w:rFonts w:ascii="仿宋" w:hAnsi="仿宋" w:eastAsia="仿宋"/>
          <w:sz w:val="28"/>
          <w:szCs w:val="28"/>
        </w:rPr>
      </w:pPr>
      <w:r>
        <w:rPr>
          <w:rFonts w:hint="eastAsia" w:ascii="仿宋" w:hAnsi="仿宋" w:eastAsia="仿宋"/>
          <w:sz w:val="28"/>
          <w:szCs w:val="28"/>
        </w:rPr>
        <w:t>⑦有学术不端行为者；</w:t>
      </w:r>
    </w:p>
    <w:p>
      <w:pPr>
        <w:pStyle w:val="5"/>
        <w:spacing w:line="440" w:lineRule="exact"/>
        <w:ind w:firstLine="560"/>
        <w:rPr>
          <w:rFonts w:ascii="仿宋" w:hAnsi="仿宋" w:eastAsia="仿宋"/>
          <w:sz w:val="28"/>
          <w:szCs w:val="28"/>
        </w:rPr>
      </w:pPr>
      <w:r>
        <w:rPr>
          <w:rFonts w:hint="eastAsia" w:ascii="仿宋" w:hAnsi="仿宋" w:eastAsia="仿宋"/>
          <w:sz w:val="28"/>
          <w:szCs w:val="28"/>
        </w:rPr>
        <w:t>⑧导师认为不宜参评，且不宜参评理由被学院奖助学金评委会认定者；</w:t>
      </w:r>
    </w:p>
    <w:p>
      <w:pPr>
        <w:pStyle w:val="5"/>
        <w:spacing w:line="440" w:lineRule="exact"/>
        <w:ind w:firstLine="560"/>
        <w:rPr>
          <w:rFonts w:ascii="仿宋" w:hAnsi="仿宋" w:eastAsia="仿宋"/>
          <w:sz w:val="28"/>
          <w:szCs w:val="28"/>
        </w:rPr>
      </w:pPr>
      <w:r>
        <w:rPr>
          <w:rFonts w:hint="eastAsia" w:ascii="仿宋" w:hAnsi="仿宋" w:eastAsia="仿宋"/>
          <w:sz w:val="28"/>
          <w:szCs w:val="28"/>
        </w:rPr>
        <w:t>⑨已办理休学、保留学籍者；</w:t>
      </w:r>
    </w:p>
    <w:p>
      <w:pPr>
        <w:pStyle w:val="5"/>
        <w:spacing w:line="440" w:lineRule="exact"/>
        <w:ind w:firstLine="560"/>
        <w:rPr>
          <w:rFonts w:ascii="仿宋" w:hAnsi="仿宋" w:eastAsia="仿宋"/>
          <w:sz w:val="28"/>
          <w:szCs w:val="28"/>
        </w:rPr>
      </w:pPr>
      <w:r>
        <w:rPr>
          <w:rFonts w:hint="eastAsia" w:ascii="仿宋" w:hAnsi="仿宋" w:eastAsia="仿宋"/>
          <w:sz w:val="28"/>
          <w:szCs w:val="28"/>
        </w:rPr>
        <w:t>⑩本人在规定的时间内未提出申请者。</w:t>
      </w:r>
    </w:p>
    <w:p>
      <w:pPr>
        <w:pStyle w:val="5"/>
        <w:spacing w:line="440" w:lineRule="exact"/>
        <w:ind w:firstLine="560"/>
        <w:rPr>
          <w:rFonts w:ascii="仿宋" w:hAnsi="仿宋" w:eastAsia="仿宋"/>
          <w:sz w:val="28"/>
          <w:szCs w:val="28"/>
        </w:rPr>
      </w:pPr>
      <w:r>
        <w:rPr>
          <w:rFonts w:hint="eastAsia" w:ascii="仿宋" w:hAnsi="仿宋" w:eastAsia="仿宋"/>
          <w:sz w:val="28"/>
          <w:szCs w:val="28"/>
        </w:rPr>
        <w:t>5、连续申报硕士国家奖学金者须较之以往有卓越表现。</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（二）评定考核办法</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研究生国家奖学金考核内容包括学习成绩、科研成果和社会工作三部分，其计分办法如下：</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总分</w:t>
      </w:r>
      <w:r>
        <w:rPr>
          <w:rFonts w:hint="eastAsia" w:ascii="仿宋" w:hAnsi="仿宋" w:eastAsia="仿宋"/>
          <w:sz w:val="28"/>
          <w:szCs w:val="28"/>
        </w:rPr>
        <w:t>=加权平均成绩+科研成果加分+社会工作加分</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cs="仿宋"/>
          <w:b/>
          <w:bCs/>
          <w:sz w:val="28"/>
          <w:szCs w:val="28"/>
        </w:rPr>
        <w:t>1、</w:t>
      </w:r>
      <w:r>
        <w:rPr>
          <w:rFonts w:hint="eastAsia" w:ascii="仿宋" w:hAnsi="仿宋" w:eastAsia="仿宋"/>
          <w:b/>
          <w:bCs/>
          <w:sz w:val="28"/>
          <w:szCs w:val="28"/>
        </w:rPr>
        <w:t>学习成绩考核办法</w:t>
      </w:r>
    </w:p>
    <w:p>
      <w:pPr>
        <w:spacing w:line="460" w:lineRule="exact"/>
        <w:ind w:firstLine="560" w:firstLineChars="200"/>
        <w:rPr>
          <w:rFonts w:ascii="仿宋" w:hAnsi="仿宋" w:eastAsia="仿宋"/>
          <w:sz w:val="28"/>
          <w:szCs w:val="28"/>
          <w:shd w:val="clear" w:color="auto" w:fill="7F7F7F"/>
        </w:rPr>
      </w:pPr>
      <w:r>
        <w:rPr>
          <w:rFonts w:hint="eastAsia" w:ascii="仿宋" w:hAnsi="仿宋" w:eastAsia="仿宋" w:cs="仿宋"/>
          <w:sz w:val="28"/>
          <w:szCs w:val="28"/>
        </w:rPr>
        <w:t>课程加权平均成绩计算方法为：</w:t>
      </w:r>
      <w:r>
        <w:rPr>
          <w:rFonts w:hint="eastAsia" w:ascii="仿宋" w:hAnsi="仿宋" w:eastAsia="仿宋"/>
          <w:sz w:val="28"/>
          <w:szCs w:val="28"/>
        </w:rPr>
        <w:t>∑（本学年度所修课程考核成绩×课程学分）/∑课程学分。研究生二年级的平均学分绩为第一学年全部所修课程的平均学分绩。研究生三年级的平均学分绩为第一、第二学年全部所修课程的平均学分绩。</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2、科研成果考核办法</w:t>
      </w:r>
    </w:p>
    <w:p>
      <w:pPr>
        <w:spacing w:line="460" w:lineRule="exact"/>
        <w:ind w:firstLine="560" w:firstLineChars="200"/>
        <w:rPr>
          <w:rFonts w:ascii="仿宋" w:hAnsi="仿宋" w:eastAsia="仿宋"/>
          <w:sz w:val="28"/>
          <w:szCs w:val="28"/>
        </w:rPr>
      </w:pPr>
      <w:r>
        <w:rPr>
          <w:rFonts w:hint="eastAsia" w:ascii="仿宋" w:hAnsi="仿宋" w:eastAsia="仿宋" w:cs="仿宋"/>
          <w:sz w:val="28"/>
          <w:szCs w:val="28"/>
        </w:rPr>
        <w:t>科研能力以导师评价为基础，对本学年度公开发表学术论文、取得有国家授权的专利等科研成果用加分的方式进行量化评价，对科研成果的量化的评价应考虑论文的水平、发表论文的学术期刊的级别和种类、获得授权的专利的类别。科研成果加分的细则由学院研究生奖学金评审委员会在充分征求本单位学术委员会意见的基础上制定，报学校研究生国家奖助学金领导小组办公室备案，向本单位全体研究生公示</w:t>
      </w:r>
      <w:r>
        <w:rPr>
          <w:rFonts w:hint="eastAsia" w:ascii="仿宋" w:hAnsi="仿宋" w:eastAsia="仿宋"/>
          <w:sz w:val="28"/>
          <w:szCs w:val="28"/>
        </w:rPr>
        <w:t>3日后启动评审工作，单项成果加分原则如下：</w:t>
      </w:r>
    </w:p>
    <w:p>
      <w:pPr>
        <w:pStyle w:val="5"/>
        <w:widowControl/>
        <w:numPr>
          <w:ilvl w:val="0"/>
          <w:numId w:val="1"/>
        </w:numPr>
        <w:spacing w:line="460" w:lineRule="exact"/>
        <w:ind w:firstLine="562"/>
        <w:rPr>
          <w:rFonts w:ascii="仿宋" w:hAnsi="仿宋" w:eastAsia="仿宋" w:cs="仿宋"/>
          <w:b/>
          <w:bCs/>
          <w:sz w:val="28"/>
          <w:szCs w:val="28"/>
        </w:rPr>
      </w:pPr>
      <w:r>
        <w:rPr>
          <w:rFonts w:hint="eastAsia" w:ascii="仿宋" w:hAnsi="仿宋" w:eastAsia="仿宋" w:cs="仿宋"/>
          <w:b/>
          <w:bCs/>
          <w:sz w:val="28"/>
          <w:szCs w:val="28"/>
        </w:rPr>
        <w:t>学术论文</w:t>
      </w:r>
    </w:p>
    <w:p>
      <w:pPr>
        <w:pStyle w:val="5"/>
        <w:widowControl/>
        <w:spacing w:line="46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    ①学年度在第一档（武汉理工大学申请学位学术成果明细）发表论文1篇记50分，可累计加分；</w:t>
      </w:r>
    </w:p>
    <w:p>
      <w:pPr>
        <w:pStyle w:val="5"/>
        <w:widowControl/>
        <w:spacing w:line="460" w:lineRule="exact"/>
        <w:ind w:firstLine="560"/>
        <w:rPr>
          <w:rFonts w:ascii="仿宋" w:hAnsi="仿宋" w:eastAsia="仿宋" w:cs="仿宋"/>
          <w:sz w:val="28"/>
          <w:szCs w:val="28"/>
        </w:rPr>
      </w:pPr>
      <w:r>
        <w:rPr>
          <w:rFonts w:hint="eastAsia" w:ascii="仿宋" w:hAnsi="仿宋" w:eastAsia="仿宋" w:cs="仿宋"/>
          <w:sz w:val="28"/>
          <w:szCs w:val="28"/>
        </w:rPr>
        <w:t>②学年度在第二档（武汉理工大学申请学位学术成果明细）发表论文1篇记40分，可累计加分；</w:t>
      </w:r>
    </w:p>
    <w:p>
      <w:pPr>
        <w:pStyle w:val="5"/>
        <w:widowControl/>
        <w:spacing w:line="460" w:lineRule="exact"/>
        <w:ind w:firstLine="560"/>
        <w:rPr>
          <w:rFonts w:ascii="仿宋" w:hAnsi="仿宋" w:eastAsia="仿宋" w:cs="仿宋"/>
          <w:sz w:val="28"/>
          <w:szCs w:val="28"/>
        </w:rPr>
      </w:pPr>
      <w:r>
        <w:rPr>
          <w:rFonts w:hint="eastAsia" w:ascii="仿宋" w:hAnsi="仿宋" w:eastAsia="仿宋" w:cs="仿宋"/>
          <w:sz w:val="28"/>
          <w:szCs w:val="28"/>
        </w:rPr>
        <w:t>③学年度在第三档（武汉理工大学申请学位学术成果明细）发表论文1篇记30分，可累计加分；</w:t>
      </w:r>
    </w:p>
    <w:p>
      <w:pPr>
        <w:pStyle w:val="5"/>
        <w:widowControl/>
        <w:spacing w:line="460" w:lineRule="exact"/>
        <w:ind w:firstLine="560"/>
        <w:rPr>
          <w:rFonts w:ascii="仿宋" w:hAnsi="仿宋" w:eastAsia="仿宋" w:cs="仿宋"/>
          <w:sz w:val="28"/>
          <w:szCs w:val="28"/>
        </w:rPr>
      </w:pPr>
      <w:r>
        <w:rPr>
          <w:rFonts w:hint="eastAsia" w:ascii="仿宋" w:hAnsi="仿宋" w:eastAsia="仿宋" w:cs="仿宋"/>
          <w:sz w:val="28"/>
          <w:szCs w:val="28"/>
        </w:rPr>
        <w:t>④学年度在第四、五档（武汉理工大学申请学位学术成果明细）发表论文1篇记15分，可累计加分；</w:t>
      </w:r>
    </w:p>
    <w:p>
      <w:pPr>
        <w:pStyle w:val="5"/>
        <w:widowControl/>
        <w:spacing w:line="460" w:lineRule="exact"/>
        <w:ind w:firstLine="560"/>
        <w:rPr>
          <w:rFonts w:ascii="仿宋" w:hAnsi="仿宋" w:eastAsia="仿宋" w:cs="仿宋"/>
          <w:sz w:val="28"/>
          <w:szCs w:val="28"/>
        </w:rPr>
      </w:pPr>
      <w:r>
        <w:rPr>
          <w:rFonts w:hint="eastAsia" w:ascii="仿宋" w:hAnsi="仿宋" w:eastAsia="仿宋" w:cs="仿宋"/>
          <w:sz w:val="28"/>
          <w:szCs w:val="28"/>
        </w:rPr>
        <w:t>⑤学年度在国内外专业学术组织举办的国际学术会议出版的论文集，被CPCI、ISTP收录的论文及学年度出版学术合著、参编、编著教材等记10分，可累计加分；（在教材中有明确注明作者为学生本人且学生撰写字数达到20000字以上）</w:t>
      </w:r>
    </w:p>
    <w:p>
      <w:pPr>
        <w:pStyle w:val="5"/>
        <w:widowControl/>
        <w:spacing w:line="460" w:lineRule="exact"/>
        <w:ind w:firstLine="560"/>
        <w:rPr>
          <w:rFonts w:ascii="仿宋" w:hAnsi="仿宋" w:eastAsia="仿宋" w:cs="仿宋"/>
          <w:sz w:val="28"/>
          <w:szCs w:val="28"/>
        </w:rPr>
      </w:pPr>
      <w:r>
        <w:rPr>
          <w:rFonts w:hint="eastAsia" w:ascii="仿宋" w:hAnsi="仿宋" w:eastAsia="仿宋" w:cs="仿宋"/>
          <w:sz w:val="28"/>
          <w:szCs w:val="28"/>
        </w:rPr>
        <w:t>⑥学年度参加省部级及以上学术会议并提交学术论文且被编入会议论文集公开发行的，或学年度在第六档（武汉理工大学申请学位学术成果明细）发表论文1篇计5分。在第七档及以上目录外学术期刊公开发表学术论文1篇的计2分，原则上加分不超过2篇。</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研究生国家奖学金论文发表时间认定：前一学年的</w:t>
      </w:r>
      <w:r>
        <w:rPr>
          <w:rFonts w:hint="eastAsia" w:ascii="仿宋" w:hAnsi="仿宋" w:eastAsia="仿宋"/>
          <w:sz w:val="28"/>
          <w:szCs w:val="28"/>
        </w:rPr>
        <w:t>9月1日至本学年度的8月31日；署名认定：申请研究生国家奖学金的研究生本人为第一作者或指导教师为第一作者，研究生本人为第二作者，公开发表第一署名单位为武汉理工大学，所有学术论文均以见刊为准；研究生本人必须为第一作者，或者导师为第一作者，本人为第二作者，学生本人按照本规定的80%加分。</w:t>
      </w:r>
    </w:p>
    <w:p>
      <w:pPr>
        <w:pStyle w:val="5"/>
        <w:widowControl/>
        <w:spacing w:line="460" w:lineRule="exact"/>
        <w:ind w:firstLine="562"/>
        <w:rPr>
          <w:rFonts w:ascii="仿宋" w:hAnsi="仿宋" w:eastAsia="仿宋" w:cs="仿宋"/>
          <w:b/>
          <w:bCs/>
          <w:sz w:val="28"/>
          <w:szCs w:val="28"/>
        </w:rPr>
      </w:pPr>
      <w:r>
        <w:rPr>
          <w:rFonts w:hint="eastAsia" w:ascii="仿宋" w:hAnsi="仿宋" w:eastAsia="仿宋" w:cs="仿宋"/>
          <w:b/>
          <w:bCs/>
          <w:sz w:val="28"/>
          <w:szCs w:val="28"/>
        </w:rPr>
        <w:t>（2）学术科技竞赛</w:t>
      </w:r>
    </w:p>
    <w:p>
      <w:pPr>
        <w:spacing w:line="460" w:lineRule="exact"/>
        <w:ind w:firstLine="560" w:firstLineChars="200"/>
        <w:rPr>
          <w:rFonts w:ascii="仿宋" w:hAnsi="仿宋" w:eastAsia="仿宋"/>
          <w:sz w:val="28"/>
          <w:szCs w:val="28"/>
        </w:rPr>
      </w:pPr>
      <w:r>
        <w:rPr>
          <w:rFonts w:hint="eastAsia" w:ascii="仿宋" w:hAnsi="仿宋" w:eastAsia="仿宋" w:cs="仿宋"/>
          <w:sz w:val="28"/>
          <w:szCs w:val="28"/>
        </w:rPr>
        <w:t>对参加学术科技竞赛类（含创新创业类）取得一定成绩、获得奖励或表彰等情况，加分的方式进行量化的评价。获得国家级特等奖记</w:t>
      </w:r>
      <w:r>
        <w:rPr>
          <w:rFonts w:hint="eastAsia" w:ascii="仿宋" w:hAnsi="仿宋" w:eastAsia="仿宋"/>
          <w:sz w:val="28"/>
          <w:szCs w:val="28"/>
        </w:rPr>
        <w:t>50</w:t>
      </w:r>
      <w:r>
        <w:rPr>
          <w:rFonts w:hint="eastAsia" w:ascii="仿宋" w:hAnsi="仿宋" w:eastAsia="仿宋" w:cs="仿宋"/>
          <w:sz w:val="28"/>
          <w:szCs w:val="28"/>
        </w:rPr>
        <w:t>分、一等奖记</w:t>
      </w:r>
      <w:r>
        <w:rPr>
          <w:rFonts w:hint="eastAsia" w:ascii="仿宋" w:hAnsi="仿宋" w:eastAsia="仿宋"/>
          <w:sz w:val="28"/>
          <w:szCs w:val="28"/>
        </w:rPr>
        <w:t>40</w:t>
      </w:r>
      <w:r>
        <w:rPr>
          <w:rFonts w:hint="eastAsia" w:ascii="仿宋" w:hAnsi="仿宋" w:eastAsia="仿宋" w:cs="仿宋"/>
          <w:sz w:val="28"/>
          <w:szCs w:val="28"/>
        </w:rPr>
        <w:t>分、二等奖</w:t>
      </w:r>
      <w:r>
        <w:rPr>
          <w:rFonts w:hint="eastAsia" w:ascii="仿宋" w:hAnsi="仿宋" w:eastAsia="仿宋"/>
          <w:sz w:val="28"/>
          <w:szCs w:val="28"/>
        </w:rPr>
        <w:t>30</w:t>
      </w:r>
      <w:r>
        <w:rPr>
          <w:rFonts w:hint="eastAsia" w:ascii="仿宋" w:hAnsi="仿宋" w:eastAsia="仿宋" w:cs="仿宋"/>
          <w:sz w:val="28"/>
          <w:szCs w:val="28"/>
        </w:rPr>
        <w:t>分、三等奖</w:t>
      </w:r>
      <w:r>
        <w:rPr>
          <w:rFonts w:hint="eastAsia" w:ascii="仿宋" w:hAnsi="仿宋" w:eastAsia="仿宋"/>
          <w:sz w:val="28"/>
          <w:szCs w:val="28"/>
        </w:rPr>
        <w:t>15</w:t>
      </w:r>
      <w:r>
        <w:rPr>
          <w:rFonts w:hint="eastAsia" w:ascii="仿宋" w:hAnsi="仿宋" w:eastAsia="仿宋" w:cs="仿宋"/>
          <w:sz w:val="28"/>
          <w:szCs w:val="28"/>
        </w:rPr>
        <w:t>分；获得省级特等奖记</w:t>
      </w:r>
      <w:r>
        <w:rPr>
          <w:rFonts w:hint="eastAsia" w:ascii="仿宋" w:hAnsi="仿宋" w:eastAsia="仿宋"/>
          <w:sz w:val="28"/>
          <w:szCs w:val="28"/>
        </w:rPr>
        <w:t>15</w:t>
      </w:r>
      <w:r>
        <w:rPr>
          <w:rFonts w:hint="eastAsia" w:ascii="仿宋" w:hAnsi="仿宋" w:eastAsia="仿宋" w:cs="仿宋"/>
          <w:sz w:val="28"/>
          <w:szCs w:val="28"/>
        </w:rPr>
        <w:t>分、一等奖记</w:t>
      </w:r>
      <w:r>
        <w:rPr>
          <w:rFonts w:hint="eastAsia" w:ascii="仿宋" w:hAnsi="仿宋" w:eastAsia="仿宋"/>
          <w:sz w:val="28"/>
          <w:szCs w:val="28"/>
        </w:rPr>
        <w:t>10</w:t>
      </w:r>
      <w:r>
        <w:rPr>
          <w:rFonts w:hint="eastAsia" w:ascii="仿宋" w:hAnsi="仿宋" w:eastAsia="仿宋" w:cs="仿宋"/>
          <w:sz w:val="28"/>
          <w:szCs w:val="28"/>
        </w:rPr>
        <w:t>分、二等奖记</w:t>
      </w:r>
      <w:r>
        <w:rPr>
          <w:rFonts w:hint="eastAsia" w:ascii="仿宋" w:hAnsi="仿宋" w:eastAsia="仿宋"/>
          <w:sz w:val="28"/>
          <w:szCs w:val="28"/>
        </w:rPr>
        <w:t>6分、三等奖记4分</w:t>
      </w:r>
      <w:r>
        <w:rPr>
          <w:rFonts w:hint="eastAsia" w:ascii="仿宋" w:hAnsi="仿宋" w:eastAsia="仿宋" w:cs="仿宋"/>
          <w:sz w:val="28"/>
          <w:szCs w:val="28"/>
        </w:rPr>
        <w:t>，其他情况加分不超过</w:t>
      </w:r>
      <w:r>
        <w:rPr>
          <w:rFonts w:hint="eastAsia" w:ascii="仿宋" w:hAnsi="仿宋" w:eastAsia="仿宋"/>
          <w:sz w:val="28"/>
          <w:szCs w:val="28"/>
        </w:rPr>
        <w:t>2分（其中文献综述大赛获得</w:t>
      </w:r>
      <w:r>
        <w:rPr>
          <w:rFonts w:hint="eastAsia" w:ascii="仿宋" w:hAnsi="仿宋" w:eastAsia="仿宋" w:cs="仿宋"/>
          <w:sz w:val="28"/>
          <w:szCs w:val="28"/>
        </w:rPr>
        <w:t>省级特等奖记</w:t>
      </w:r>
      <w:r>
        <w:rPr>
          <w:rFonts w:hint="eastAsia" w:ascii="仿宋" w:hAnsi="仿宋" w:eastAsia="仿宋"/>
          <w:sz w:val="28"/>
          <w:szCs w:val="28"/>
        </w:rPr>
        <w:t>8</w:t>
      </w:r>
      <w:r>
        <w:rPr>
          <w:rFonts w:hint="eastAsia" w:ascii="仿宋" w:hAnsi="仿宋" w:eastAsia="仿宋" w:cs="仿宋"/>
          <w:sz w:val="28"/>
          <w:szCs w:val="28"/>
        </w:rPr>
        <w:t>分、一等奖记</w:t>
      </w:r>
      <w:r>
        <w:rPr>
          <w:rFonts w:hint="eastAsia" w:ascii="仿宋" w:hAnsi="仿宋" w:eastAsia="仿宋"/>
          <w:sz w:val="28"/>
          <w:szCs w:val="28"/>
        </w:rPr>
        <w:t>4</w:t>
      </w:r>
      <w:r>
        <w:rPr>
          <w:rFonts w:hint="eastAsia" w:ascii="仿宋" w:hAnsi="仿宋" w:eastAsia="仿宋" w:cs="仿宋"/>
          <w:sz w:val="28"/>
          <w:szCs w:val="28"/>
        </w:rPr>
        <w:t>分、二等奖记</w:t>
      </w:r>
      <w:r>
        <w:rPr>
          <w:rFonts w:hint="eastAsia" w:ascii="仿宋" w:hAnsi="仿宋" w:eastAsia="仿宋"/>
          <w:sz w:val="28"/>
          <w:szCs w:val="28"/>
        </w:rPr>
        <w:t>3分、三等奖记2分）；获得校级特等奖记4分、一等奖3分、二等奖2分、三等奖1分。以上获奖或者表彰只记一类一次最高级别奖励或表彰加分，加分不累计。</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以上获奖均以获奖证书为认定标准，获奖团队成员原则上只认定前8名成员。团队人数≤8人，以获奖证书团队成员排序为准，排序第一的按总分80%计分，排序第二至第四的按总分60%计分，排序第五至第八的按总分40%计分。团队人数≤6人，以获奖证书团队成员排序为准，排序第一的按总分80%计分，排序第二至第三的按总分60%计分，排序第四至第六的按总分40%计分。</w:t>
      </w:r>
    </w:p>
    <w:p>
      <w:pPr>
        <w:pStyle w:val="5"/>
        <w:widowControl/>
        <w:spacing w:line="460" w:lineRule="exact"/>
        <w:ind w:firstLine="562"/>
        <w:rPr>
          <w:rFonts w:ascii="仿宋" w:hAnsi="仿宋" w:eastAsia="仿宋" w:cs="仿宋"/>
          <w:b/>
          <w:bCs/>
          <w:sz w:val="28"/>
          <w:szCs w:val="28"/>
        </w:rPr>
      </w:pPr>
      <w:r>
        <w:rPr>
          <w:rFonts w:hint="eastAsia" w:ascii="仿宋" w:hAnsi="仿宋" w:eastAsia="仿宋" w:cs="仿宋"/>
          <w:b/>
          <w:bCs/>
          <w:sz w:val="28"/>
          <w:szCs w:val="28"/>
        </w:rPr>
        <w:t>（3）专利成果</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署名要求：第一发明人，或导师第一本人第二，署名单位为武汉理工大学。获得授权的发明专利加25分；获得授权的实用新型专利加15分；获得授权的软件著作权加10分。以后排序不计分。</w:t>
      </w:r>
    </w:p>
    <w:p>
      <w:pPr>
        <w:spacing w:line="460" w:lineRule="exact"/>
        <w:ind w:firstLine="562" w:firstLineChars="200"/>
        <w:rPr>
          <w:rFonts w:ascii="仿宋" w:hAnsi="仿宋" w:eastAsia="仿宋"/>
          <w:b/>
          <w:bCs/>
          <w:sz w:val="28"/>
          <w:szCs w:val="28"/>
        </w:rPr>
      </w:pPr>
      <w:r>
        <w:rPr>
          <w:rFonts w:hint="eastAsia" w:ascii="仿宋" w:hAnsi="仿宋" w:eastAsia="仿宋" w:cs="仿宋"/>
          <w:b/>
          <w:bCs/>
          <w:sz w:val="28"/>
          <w:szCs w:val="28"/>
        </w:rPr>
        <w:t>3、</w:t>
      </w:r>
      <w:r>
        <w:rPr>
          <w:rFonts w:hint="eastAsia" w:ascii="仿宋" w:hAnsi="仿宋" w:eastAsia="仿宋"/>
          <w:b/>
          <w:bCs/>
          <w:sz w:val="28"/>
          <w:szCs w:val="28"/>
        </w:rPr>
        <w:t>社会工作考核办法</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对承担社会工作、参加社会实践、志愿服务及其他社会公益活动取得一定成绩、获得表彰等情况，用量化评价的方式加分</w:t>
      </w:r>
      <w:r>
        <w:rPr>
          <w:rFonts w:hint="eastAsia" w:ascii="仿宋" w:hAnsi="仿宋" w:eastAsia="仿宋"/>
          <w:sz w:val="28"/>
          <w:szCs w:val="28"/>
        </w:rPr>
        <w:t>，具体如下：</w:t>
      </w:r>
    </w:p>
    <w:tbl>
      <w:tblPr>
        <w:tblStyle w:val="9"/>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1184"/>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60" w:lineRule="exact"/>
              <w:jc w:val="center"/>
              <w:rPr>
                <w:rFonts w:ascii="仿宋" w:hAnsi="仿宋" w:eastAsia="仿宋"/>
                <w:sz w:val="28"/>
                <w:szCs w:val="28"/>
              </w:rPr>
            </w:pPr>
            <w:r>
              <w:rPr>
                <w:rFonts w:hint="eastAsia" w:ascii="仿宋" w:hAnsi="仿宋" w:eastAsia="仿宋"/>
                <w:sz w:val="28"/>
                <w:szCs w:val="28"/>
              </w:rPr>
              <w:t>加分项</w:t>
            </w:r>
          </w:p>
        </w:tc>
        <w:tc>
          <w:tcPr>
            <w:tcW w:w="118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460" w:lineRule="exact"/>
              <w:jc w:val="center"/>
              <w:rPr>
                <w:rFonts w:ascii="仿宋" w:hAnsi="仿宋" w:eastAsia="仿宋"/>
                <w:sz w:val="28"/>
                <w:szCs w:val="28"/>
              </w:rPr>
            </w:pPr>
            <w:r>
              <w:rPr>
                <w:rFonts w:hint="eastAsia" w:ascii="仿宋" w:hAnsi="仿宋" w:eastAsia="仿宋"/>
                <w:sz w:val="28"/>
                <w:szCs w:val="28"/>
              </w:rPr>
              <w:t>该项最高得分</w:t>
            </w:r>
          </w:p>
        </w:tc>
        <w:tc>
          <w:tcPr>
            <w:tcW w:w="469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460" w:lineRule="exact"/>
              <w:jc w:val="center"/>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60" w:lineRule="exact"/>
              <w:rPr>
                <w:rFonts w:ascii="仿宋" w:hAnsi="仿宋" w:eastAsia="仿宋"/>
                <w:sz w:val="28"/>
                <w:szCs w:val="28"/>
              </w:rPr>
            </w:pPr>
            <w:r>
              <w:rPr>
                <w:rFonts w:hint="eastAsia" w:ascii="仿宋" w:hAnsi="仿宋" w:eastAsia="仿宋"/>
                <w:sz w:val="28"/>
                <w:szCs w:val="28"/>
              </w:rPr>
              <w:t>社会工作国家级奖励</w:t>
            </w:r>
          </w:p>
        </w:tc>
        <w:tc>
          <w:tcPr>
            <w:tcW w:w="118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460" w:lineRule="exact"/>
              <w:jc w:val="center"/>
              <w:rPr>
                <w:rFonts w:ascii="仿宋" w:hAnsi="仿宋" w:eastAsia="仿宋"/>
                <w:sz w:val="28"/>
                <w:szCs w:val="28"/>
              </w:rPr>
            </w:pPr>
            <w:r>
              <w:rPr>
                <w:rFonts w:hint="eastAsia" w:ascii="仿宋" w:hAnsi="仿宋" w:eastAsia="仿宋"/>
                <w:sz w:val="28"/>
                <w:szCs w:val="28"/>
              </w:rPr>
              <w:t>20分</w:t>
            </w:r>
          </w:p>
        </w:tc>
        <w:tc>
          <w:tcPr>
            <w:tcW w:w="4699" w:type="dxa"/>
            <w:vMerge w:val="restart"/>
            <w:tcBorders>
              <w:top w:val="nil"/>
              <w:left w:val="nil"/>
              <w:bottom w:val="single" w:color="auto" w:sz="4" w:space="0"/>
              <w:right w:val="single" w:color="auto" w:sz="4" w:space="0"/>
            </w:tcBorders>
            <w:shd w:val="clear" w:color="auto" w:fill="auto"/>
            <w:vAlign w:val="center"/>
          </w:tcPr>
          <w:p>
            <w:pPr>
              <w:adjustRightInd w:val="0"/>
              <w:snapToGrid w:val="0"/>
              <w:spacing w:line="460" w:lineRule="exact"/>
              <w:rPr>
                <w:rFonts w:ascii="仿宋" w:hAnsi="仿宋" w:eastAsia="仿宋"/>
                <w:sz w:val="28"/>
                <w:szCs w:val="28"/>
              </w:rPr>
            </w:pPr>
            <w:r>
              <w:rPr>
                <w:rFonts w:hint="eastAsia" w:ascii="仿宋" w:hAnsi="仿宋" w:eastAsia="仿宋"/>
                <w:sz w:val="28"/>
                <w:szCs w:val="28"/>
              </w:rPr>
              <w:t>国家级、省（部）级奖励均为各级党委、各级政府或各级团委的公章。其他单位颁发的荣誉证书不予承认。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60" w:lineRule="exact"/>
              <w:rPr>
                <w:rFonts w:ascii="仿宋" w:hAnsi="仿宋" w:eastAsia="仿宋"/>
                <w:sz w:val="28"/>
                <w:szCs w:val="28"/>
              </w:rPr>
            </w:pPr>
            <w:r>
              <w:rPr>
                <w:rFonts w:hint="eastAsia" w:ascii="仿宋" w:hAnsi="仿宋" w:eastAsia="仿宋"/>
                <w:sz w:val="28"/>
                <w:szCs w:val="28"/>
              </w:rPr>
              <w:t>社会工作省级奖励</w:t>
            </w:r>
          </w:p>
        </w:tc>
        <w:tc>
          <w:tcPr>
            <w:tcW w:w="118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460" w:lineRule="exact"/>
              <w:jc w:val="center"/>
              <w:rPr>
                <w:rFonts w:ascii="仿宋" w:hAnsi="仿宋" w:eastAsia="仿宋"/>
                <w:sz w:val="28"/>
                <w:szCs w:val="28"/>
              </w:rPr>
            </w:pPr>
            <w:r>
              <w:rPr>
                <w:rFonts w:hint="eastAsia" w:ascii="仿宋" w:hAnsi="仿宋" w:eastAsia="仿宋"/>
                <w:sz w:val="28"/>
                <w:szCs w:val="28"/>
              </w:rPr>
              <w:t>10分</w:t>
            </w:r>
          </w:p>
        </w:tc>
        <w:tc>
          <w:tcPr>
            <w:tcW w:w="4699" w:type="dxa"/>
            <w:vMerge w:val="continue"/>
            <w:tcBorders>
              <w:top w:val="nil"/>
              <w:left w:val="nil"/>
              <w:bottom w:val="single" w:color="auto" w:sz="4" w:space="0"/>
              <w:right w:val="single" w:color="auto" w:sz="4" w:space="0"/>
            </w:tcBorders>
            <w:shd w:val="clear" w:color="auto" w:fill="auto"/>
            <w:vAlign w:val="center"/>
          </w:tcPr>
          <w:p>
            <w:pPr>
              <w:spacing w:line="46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60" w:lineRule="exact"/>
              <w:rPr>
                <w:rFonts w:ascii="仿宋" w:hAnsi="仿宋" w:eastAsia="仿宋"/>
                <w:sz w:val="28"/>
                <w:szCs w:val="28"/>
              </w:rPr>
            </w:pPr>
            <w:r>
              <w:rPr>
                <w:rFonts w:hint="eastAsia" w:ascii="仿宋" w:hAnsi="仿宋" w:eastAsia="仿宋"/>
                <w:sz w:val="28"/>
                <w:szCs w:val="28"/>
              </w:rPr>
              <w:t>社会工作校级奖励</w:t>
            </w:r>
          </w:p>
        </w:tc>
        <w:tc>
          <w:tcPr>
            <w:tcW w:w="118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460" w:lineRule="exact"/>
              <w:jc w:val="center"/>
              <w:rPr>
                <w:rFonts w:ascii="仿宋" w:hAnsi="仿宋" w:eastAsia="仿宋"/>
                <w:sz w:val="28"/>
                <w:szCs w:val="28"/>
              </w:rPr>
            </w:pPr>
            <w:r>
              <w:rPr>
                <w:rFonts w:hint="eastAsia" w:ascii="仿宋" w:hAnsi="仿宋" w:eastAsia="仿宋"/>
                <w:sz w:val="28"/>
                <w:szCs w:val="28"/>
              </w:rPr>
              <w:t>2分</w:t>
            </w:r>
          </w:p>
        </w:tc>
        <w:tc>
          <w:tcPr>
            <w:tcW w:w="469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460" w:lineRule="exact"/>
              <w:rPr>
                <w:rFonts w:ascii="仿宋" w:hAnsi="仿宋" w:eastAsia="仿宋"/>
                <w:sz w:val="28"/>
                <w:szCs w:val="28"/>
              </w:rPr>
            </w:pPr>
            <w:r>
              <w:rPr>
                <w:rFonts w:hint="eastAsia" w:ascii="仿宋" w:hAnsi="仿宋" w:eastAsia="仿宋"/>
                <w:sz w:val="28"/>
                <w:szCs w:val="28"/>
              </w:rPr>
              <w:t>校级荣誉仅承认“武汉理工大学”“共青团武汉理工大学委员会”“校研究生院”公章，主要包括优秀共产党员、优秀共青团员、优秀学生干部等荣誉称号。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60" w:lineRule="exact"/>
              <w:rPr>
                <w:rFonts w:ascii="仿宋" w:hAnsi="仿宋" w:eastAsia="仿宋"/>
                <w:sz w:val="28"/>
                <w:szCs w:val="28"/>
              </w:rPr>
            </w:pPr>
            <w:r>
              <w:rPr>
                <w:rFonts w:hint="eastAsia" w:ascii="仿宋" w:hAnsi="仿宋" w:eastAsia="仿宋"/>
                <w:sz w:val="28"/>
                <w:szCs w:val="28"/>
              </w:rPr>
              <w:t>担任校、院研究生会正、副主席，党支部书记</w:t>
            </w:r>
          </w:p>
        </w:tc>
        <w:tc>
          <w:tcPr>
            <w:tcW w:w="118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460" w:lineRule="exact"/>
              <w:jc w:val="center"/>
              <w:rPr>
                <w:rFonts w:ascii="仿宋" w:hAnsi="仿宋" w:eastAsia="仿宋"/>
                <w:sz w:val="28"/>
                <w:szCs w:val="28"/>
              </w:rPr>
            </w:pPr>
            <w:r>
              <w:rPr>
                <w:rFonts w:hint="eastAsia" w:ascii="仿宋" w:hAnsi="仿宋" w:eastAsia="仿宋"/>
                <w:sz w:val="28"/>
                <w:szCs w:val="28"/>
              </w:rPr>
              <w:t>2分</w:t>
            </w:r>
          </w:p>
        </w:tc>
        <w:tc>
          <w:tcPr>
            <w:tcW w:w="469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460" w:lineRule="exact"/>
              <w:rPr>
                <w:rFonts w:ascii="仿宋" w:hAnsi="仿宋" w:eastAsia="仿宋"/>
                <w:sz w:val="28"/>
                <w:szCs w:val="28"/>
              </w:rPr>
            </w:pPr>
            <w:r>
              <w:rPr>
                <w:rFonts w:hint="eastAsia" w:ascii="仿宋" w:hAnsi="仿宋" w:eastAsia="仿宋"/>
                <w:sz w:val="28"/>
                <w:szCs w:val="28"/>
              </w:rPr>
              <w:t>工作满一年，考核合格。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60" w:lineRule="exact"/>
              <w:rPr>
                <w:rFonts w:ascii="仿宋" w:hAnsi="仿宋" w:eastAsia="仿宋"/>
                <w:sz w:val="28"/>
                <w:szCs w:val="28"/>
              </w:rPr>
            </w:pPr>
            <w:r>
              <w:rPr>
                <w:rFonts w:hint="eastAsia" w:ascii="仿宋" w:hAnsi="仿宋" w:eastAsia="仿宋"/>
                <w:sz w:val="28"/>
                <w:szCs w:val="28"/>
              </w:rPr>
              <w:t>校、院研究生会正副部长，其他研究生社团负责人，班长</w:t>
            </w:r>
          </w:p>
        </w:tc>
        <w:tc>
          <w:tcPr>
            <w:tcW w:w="118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460" w:lineRule="exact"/>
              <w:jc w:val="center"/>
              <w:rPr>
                <w:rFonts w:ascii="仿宋" w:hAnsi="仿宋" w:eastAsia="仿宋"/>
                <w:sz w:val="28"/>
                <w:szCs w:val="28"/>
              </w:rPr>
            </w:pPr>
            <w:r>
              <w:rPr>
                <w:rFonts w:hint="eastAsia" w:ascii="仿宋" w:hAnsi="仿宋" w:eastAsia="仿宋"/>
                <w:sz w:val="28"/>
                <w:szCs w:val="28"/>
              </w:rPr>
              <w:t>1分</w:t>
            </w:r>
          </w:p>
        </w:tc>
        <w:tc>
          <w:tcPr>
            <w:tcW w:w="469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460" w:lineRule="exact"/>
              <w:rPr>
                <w:rFonts w:ascii="仿宋" w:hAnsi="仿宋" w:eastAsia="仿宋"/>
                <w:sz w:val="28"/>
                <w:szCs w:val="28"/>
              </w:rPr>
            </w:pPr>
            <w:r>
              <w:rPr>
                <w:rFonts w:hint="eastAsia" w:ascii="仿宋" w:hAnsi="仿宋" w:eastAsia="仿宋"/>
                <w:sz w:val="28"/>
                <w:szCs w:val="28"/>
              </w:rPr>
              <w:t>工作满一年，考核合格。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60" w:lineRule="exact"/>
              <w:rPr>
                <w:rFonts w:ascii="仿宋" w:hAnsi="仿宋" w:eastAsia="仿宋"/>
                <w:sz w:val="28"/>
                <w:szCs w:val="28"/>
              </w:rPr>
            </w:pPr>
            <w:r>
              <w:rPr>
                <w:rFonts w:hint="eastAsia" w:ascii="仿宋" w:hAnsi="仿宋" w:eastAsia="仿宋"/>
                <w:sz w:val="28"/>
                <w:szCs w:val="28"/>
              </w:rPr>
              <w:t>校、院研究生会成员，党支部委员、班委会成员</w:t>
            </w:r>
          </w:p>
        </w:tc>
        <w:tc>
          <w:tcPr>
            <w:tcW w:w="118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460" w:lineRule="exact"/>
              <w:jc w:val="center"/>
              <w:rPr>
                <w:rFonts w:ascii="仿宋" w:hAnsi="仿宋" w:eastAsia="仿宋"/>
                <w:sz w:val="28"/>
                <w:szCs w:val="28"/>
              </w:rPr>
            </w:pPr>
            <w:r>
              <w:rPr>
                <w:rFonts w:hint="eastAsia" w:ascii="仿宋" w:hAnsi="仿宋" w:eastAsia="仿宋"/>
                <w:sz w:val="28"/>
                <w:szCs w:val="28"/>
              </w:rPr>
              <w:t>0.5分</w:t>
            </w:r>
          </w:p>
        </w:tc>
        <w:tc>
          <w:tcPr>
            <w:tcW w:w="469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460" w:lineRule="exact"/>
              <w:rPr>
                <w:rFonts w:ascii="仿宋" w:hAnsi="仿宋" w:eastAsia="仿宋"/>
                <w:sz w:val="28"/>
                <w:szCs w:val="28"/>
              </w:rPr>
            </w:pPr>
            <w:r>
              <w:rPr>
                <w:rFonts w:hint="eastAsia" w:ascii="仿宋" w:hAnsi="仿宋" w:eastAsia="仿宋"/>
                <w:sz w:val="28"/>
                <w:szCs w:val="28"/>
              </w:rPr>
              <w:t>工作满一年，考核合格。</w:t>
            </w:r>
          </w:p>
        </w:tc>
      </w:tr>
    </w:tbl>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此项中，任何荣誉不重复加分。担任学生干部未满一学年，但在一学期以上的，按相应分值的一半加分，但主动辞职或因为工作不称职被免职的不予加分。同时担任几项职务的，只取一项最高分。因担任学生干部获得校级以上荣誉的只按获得荣誉相应等级加分，干部身份不重复加分。</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（三）评定程序</w:t>
      </w:r>
    </w:p>
    <w:p>
      <w:pPr>
        <w:spacing w:line="460" w:lineRule="exact"/>
        <w:ind w:firstLine="560" w:firstLineChars="200"/>
        <w:rPr>
          <w:rFonts w:ascii="仿宋" w:hAnsi="仿宋" w:eastAsia="仿宋"/>
          <w:sz w:val="28"/>
          <w:szCs w:val="28"/>
        </w:rPr>
      </w:pPr>
      <w:r>
        <w:rPr>
          <w:rFonts w:hint="eastAsia" w:ascii="仿宋" w:hAnsi="仿宋" w:eastAsia="仿宋" w:cs="仿宋"/>
          <w:sz w:val="28"/>
          <w:szCs w:val="28"/>
        </w:rPr>
        <w:t>1、</w:t>
      </w:r>
      <w:r>
        <w:rPr>
          <w:rFonts w:hint="eastAsia" w:ascii="仿宋" w:hAnsi="仿宋" w:eastAsia="仿宋"/>
          <w:sz w:val="28"/>
          <w:szCs w:val="28"/>
        </w:rPr>
        <w:t>所有符合本办法规定条件的学生均有资格申请。本人应如实填写《武汉理工大学马克思主义学院研究生国家奖学金申请审批表》（</w:t>
      </w:r>
      <w:r>
        <w:rPr>
          <w:rFonts w:hint="eastAsia" w:ascii="楷体" w:hAnsi="楷体" w:eastAsia="楷体" w:cs="楷体"/>
          <w:sz w:val="28"/>
          <w:szCs w:val="28"/>
        </w:rPr>
        <w:t>附件1）</w:t>
      </w:r>
      <w:r>
        <w:rPr>
          <w:rFonts w:hint="eastAsia" w:ascii="仿宋" w:hAnsi="仿宋" w:eastAsia="仿宋"/>
          <w:sz w:val="28"/>
          <w:szCs w:val="28"/>
        </w:rPr>
        <w:t>，向学院评审委员会提出申请。</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2、本人提交申请并提供相关申请材料</w:t>
      </w:r>
    </w:p>
    <w:p>
      <w:pPr>
        <w:pStyle w:val="5"/>
        <w:widowControl/>
        <w:spacing w:line="460" w:lineRule="exact"/>
        <w:ind w:firstLine="560"/>
        <w:rPr>
          <w:rFonts w:ascii="仿宋" w:hAnsi="仿宋" w:eastAsia="仿宋"/>
          <w:sz w:val="28"/>
          <w:szCs w:val="28"/>
        </w:rPr>
      </w:pPr>
      <w:r>
        <w:rPr>
          <w:rFonts w:hint="eastAsia" w:ascii="仿宋" w:hAnsi="仿宋" w:eastAsia="仿宋" w:cs="仿宋"/>
          <w:sz w:val="28"/>
          <w:szCs w:val="28"/>
        </w:rPr>
        <w:t>①凡符合各类奖学金学业条件的研究生须提交申请，否则视为自动放弃；</w:t>
      </w:r>
    </w:p>
    <w:p>
      <w:pPr>
        <w:pStyle w:val="5"/>
        <w:widowControl/>
        <w:spacing w:line="460" w:lineRule="exact"/>
        <w:ind w:firstLine="560"/>
        <w:rPr>
          <w:rFonts w:ascii="仿宋" w:hAnsi="仿宋" w:eastAsia="仿宋"/>
          <w:sz w:val="28"/>
          <w:szCs w:val="28"/>
        </w:rPr>
      </w:pPr>
      <w:r>
        <w:rPr>
          <w:rFonts w:hint="eastAsia" w:ascii="仿宋" w:hAnsi="仿宋" w:eastAsia="仿宋" w:cs="仿宋"/>
          <w:sz w:val="28"/>
          <w:szCs w:val="28"/>
        </w:rPr>
        <w:t>②论文、论著、教材应提供原件及复印件。论文复印件应包括封面、目录、论文本身；论著、教材复印件应包括封面、目录、能证明研究生参与程度的部分。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3、导师根据研究生学习成绩、参加科研项目情况进行推荐。</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4、学院研究生奖学金评审委员会主任委员负责组织委员会成员对申请硕士国家奖学金的研究生申报材料进行评审。学院评审委员会确定本单位拟获奖硕士研究生名单，在本单位内进行不少于5个工作日的公示，公示无异议后，报研究生工作部。</w:t>
      </w:r>
    </w:p>
    <w:p>
      <w:pPr>
        <w:spacing w:line="460" w:lineRule="exact"/>
        <w:ind w:firstLine="560" w:firstLineChars="200"/>
        <w:rPr>
          <w:rFonts w:ascii="仿宋" w:hAnsi="仿宋" w:eastAsia="仿宋" w:cs="仿宋"/>
          <w:sz w:val="28"/>
          <w:szCs w:val="28"/>
        </w:rPr>
      </w:pPr>
      <w:r>
        <w:rPr>
          <w:rFonts w:hint="eastAsia" w:ascii="仿宋" w:hAnsi="仿宋" w:eastAsia="仿宋"/>
          <w:sz w:val="28"/>
          <w:szCs w:val="28"/>
        </w:rPr>
        <w:t>5、对研究生国家奖学金评审结果有异议的学生，可在学院公示阶段向所在单位评审委员会提出申诉，评审委员会应及时研究并予以答复。如学生对本单位作出的答复仍存在异议，可在学校公示阶段向学校</w:t>
      </w:r>
      <w:r>
        <w:rPr>
          <w:rFonts w:hint="eastAsia" w:ascii="仿宋" w:hAnsi="仿宋" w:eastAsia="仿宋"/>
          <w:sz w:val="28"/>
          <w:szCs w:val="28"/>
          <w:lang w:val="en-US" w:eastAsia="zh-CN"/>
        </w:rPr>
        <w:t>国家</w:t>
      </w:r>
      <w:r>
        <w:rPr>
          <w:rFonts w:hint="eastAsia" w:ascii="仿宋" w:hAnsi="仿宋" w:eastAsia="仿宋"/>
          <w:sz w:val="28"/>
          <w:szCs w:val="28"/>
        </w:rPr>
        <w:t>研究生奖学金评审领导小组提请裁决。</w:t>
      </w:r>
    </w:p>
    <w:p>
      <w:pPr>
        <w:pStyle w:val="3"/>
        <w:numPr>
          <w:ilvl w:val="0"/>
          <w:numId w:val="2"/>
        </w:numPr>
        <w:spacing w:before="156" w:beforeLines="50" w:after="156" w:afterLines="50" w:line="460" w:lineRule="exact"/>
        <w:ind w:firstLine="200"/>
        <w:rPr>
          <w:rFonts w:ascii="仿宋" w:hAnsi="仿宋" w:eastAsia="仿宋"/>
          <w:bCs w:val="0"/>
          <w:sz w:val="28"/>
          <w:szCs w:val="28"/>
        </w:rPr>
      </w:pPr>
      <w:r>
        <w:rPr>
          <w:rFonts w:hint="eastAsia" w:ascii="仿宋" w:hAnsi="仿宋" w:eastAsia="仿宋"/>
          <w:bCs w:val="0"/>
          <w:sz w:val="28"/>
          <w:szCs w:val="28"/>
        </w:rPr>
        <w:t>研究生学业奖学金评定办法</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硕士</w:t>
      </w:r>
      <w:r>
        <w:rPr>
          <w:rFonts w:ascii="仿宋" w:hAnsi="仿宋" w:eastAsia="仿宋"/>
          <w:sz w:val="28"/>
          <w:szCs w:val="28"/>
        </w:rPr>
        <w:t>研究生学业奖学金的等级和标准如下：</w:t>
      </w:r>
    </w:p>
    <w:tbl>
      <w:tblPr>
        <w:tblStyle w:val="9"/>
        <w:tblW w:w="7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3630"/>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tcBorders>
              <w:top w:val="single" w:color="auto" w:sz="4" w:space="0"/>
              <w:left w:val="single" w:color="auto" w:sz="4" w:space="0"/>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ascii="仿宋" w:hAnsi="仿宋" w:eastAsia="仿宋"/>
                <w:sz w:val="28"/>
                <w:szCs w:val="28"/>
              </w:rPr>
              <w:t>等级</w:t>
            </w:r>
          </w:p>
        </w:tc>
        <w:tc>
          <w:tcPr>
            <w:tcW w:w="3630" w:type="dxa"/>
            <w:tcBorders>
              <w:top w:val="single" w:color="auto" w:sz="4" w:space="0"/>
              <w:left w:val="nil"/>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ascii="仿宋" w:hAnsi="仿宋" w:eastAsia="仿宋"/>
                <w:sz w:val="28"/>
                <w:szCs w:val="28"/>
              </w:rPr>
              <w:t>资助额度</w:t>
            </w:r>
          </w:p>
        </w:tc>
        <w:tc>
          <w:tcPr>
            <w:tcW w:w="2065" w:type="dxa"/>
            <w:tcBorders>
              <w:top w:val="single" w:color="auto" w:sz="4" w:space="0"/>
              <w:left w:val="nil"/>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ascii="仿宋" w:hAnsi="仿宋" w:eastAsia="仿宋"/>
                <w:sz w:val="28"/>
                <w:szCs w:val="28"/>
              </w:rPr>
              <w:t>人数比例（%）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tcBorders>
              <w:top w:val="single" w:color="auto" w:sz="4" w:space="0"/>
              <w:left w:val="single" w:color="auto" w:sz="4" w:space="0"/>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ascii="仿宋" w:hAnsi="仿宋" w:eastAsia="仿宋"/>
                <w:sz w:val="28"/>
                <w:szCs w:val="28"/>
              </w:rPr>
              <w:t>一等</w:t>
            </w:r>
          </w:p>
        </w:tc>
        <w:tc>
          <w:tcPr>
            <w:tcW w:w="3630" w:type="dxa"/>
            <w:tcBorders>
              <w:top w:val="single" w:color="auto" w:sz="4" w:space="0"/>
              <w:left w:val="nil"/>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ascii="仿宋" w:hAnsi="仿宋" w:eastAsia="仿宋"/>
                <w:sz w:val="28"/>
                <w:szCs w:val="28"/>
              </w:rPr>
              <w:t>1万元/生·年</w:t>
            </w:r>
          </w:p>
        </w:tc>
        <w:tc>
          <w:tcPr>
            <w:tcW w:w="2065" w:type="dxa"/>
            <w:tcBorders>
              <w:top w:val="single" w:color="auto" w:sz="4" w:space="0"/>
              <w:left w:val="nil"/>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ascii="仿宋" w:hAnsi="仿宋" w:eastAsia="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tcBorders>
              <w:top w:val="single" w:color="auto" w:sz="4" w:space="0"/>
              <w:left w:val="single" w:color="auto" w:sz="4" w:space="0"/>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ascii="仿宋" w:hAnsi="仿宋" w:eastAsia="仿宋"/>
                <w:sz w:val="28"/>
                <w:szCs w:val="28"/>
              </w:rPr>
              <w:t>二等</w:t>
            </w:r>
          </w:p>
        </w:tc>
        <w:tc>
          <w:tcPr>
            <w:tcW w:w="3630" w:type="dxa"/>
            <w:tcBorders>
              <w:top w:val="single" w:color="auto" w:sz="4" w:space="0"/>
              <w:left w:val="nil"/>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ascii="仿宋" w:hAnsi="仿宋" w:eastAsia="仿宋"/>
                <w:sz w:val="28"/>
                <w:szCs w:val="28"/>
              </w:rPr>
              <w:t>0.8万元/生·年</w:t>
            </w:r>
          </w:p>
        </w:tc>
        <w:tc>
          <w:tcPr>
            <w:tcW w:w="2065" w:type="dxa"/>
            <w:tcBorders>
              <w:top w:val="single" w:color="auto" w:sz="4" w:space="0"/>
              <w:left w:val="nil"/>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ascii="仿宋" w:hAnsi="仿宋" w:eastAsia="仿宋"/>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tcBorders>
              <w:top w:val="single" w:color="auto" w:sz="4" w:space="0"/>
              <w:left w:val="single" w:color="auto" w:sz="4" w:space="0"/>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ascii="仿宋" w:hAnsi="仿宋" w:eastAsia="仿宋"/>
                <w:sz w:val="28"/>
                <w:szCs w:val="28"/>
              </w:rPr>
              <w:t>三等</w:t>
            </w:r>
          </w:p>
        </w:tc>
        <w:tc>
          <w:tcPr>
            <w:tcW w:w="3630" w:type="dxa"/>
            <w:tcBorders>
              <w:top w:val="single" w:color="auto" w:sz="4" w:space="0"/>
              <w:left w:val="nil"/>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ascii="仿宋" w:hAnsi="仿宋" w:eastAsia="仿宋"/>
                <w:sz w:val="28"/>
                <w:szCs w:val="28"/>
              </w:rPr>
              <w:t>0.6万元/生·年</w:t>
            </w:r>
          </w:p>
        </w:tc>
        <w:tc>
          <w:tcPr>
            <w:tcW w:w="2065" w:type="dxa"/>
            <w:tcBorders>
              <w:top w:val="single" w:color="auto" w:sz="4" w:space="0"/>
              <w:left w:val="nil"/>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0%</w:t>
            </w:r>
          </w:p>
        </w:tc>
      </w:tr>
    </w:tbl>
    <w:p>
      <w:pPr>
        <w:spacing w:line="460" w:lineRule="exact"/>
        <w:ind w:firstLine="560" w:firstLineChars="200"/>
        <w:rPr>
          <w:rFonts w:ascii="仿宋" w:hAnsi="仿宋" w:eastAsia="仿宋"/>
          <w:sz w:val="28"/>
          <w:szCs w:val="28"/>
        </w:rPr>
      </w:pPr>
      <w:r>
        <w:rPr>
          <w:rFonts w:ascii="仿宋" w:hAnsi="仿宋" w:eastAsia="仿宋"/>
          <w:sz w:val="28"/>
          <w:szCs w:val="28"/>
        </w:rPr>
        <w:t>博士研究生学业奖学金等级和标准如下：</w:t>
      </w:r>
    </w:p>
    <w:tbl>
      <w:tblPr>
        <w:tblStyle w:val="9"/>
        <w:tblW w:w="7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68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ascii="仿宋" w:hAnsi="仿宋" w:eastAsia="仿宋"/>
                <w:sz w:val="28"/>
                <w:szCs w:val="28"/>
              </w:rPr>
              <w:t>等级</w:t>
            </w:r>
          </w:p>
        </w:tc>
        <w:tc>
          <w:tcPr>
            <w:tcW w:w="3686" w:type="dxa"/>
            <w:tcBorders>
              <w:top w:val="single" w:color="auto" w:sz="4" w:space="0"/>
              <w:left w:val="nil"/>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ascii="仿宋" w:hAnsi="仿宋" w:eastAsia="仿宋"/>
                <w:sz w:val="28"/>
                <w:szCs w:val="28"/>
              </w:rPr>
              <w:t>奖励标准</w:t>
            </w:r>
          </w:p>
        </w:tc>
        <w:tc>
          <w:tcPr>
            <w:tcW w:w="2136" w:type="dxa"/>
            <w:tcBorders>
              <w:top w:val="single" w:color="auto" w:sz="4" w:space="0"/>
              <w:left w:val="nil"/>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ascii="仿宋" w:hAnsi="仿宋" w:eastAsia="仿宋"/>
                <w:sz w:val="28"/>
                <w:szCs w:val="28"/>
              </w:rPr>
              <w:t>人数比例（%）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hint="eastAsia" w:ascii="仿宋" w:hAnsi="仿宋" w:eastAsia="仿宋"/>
                <w:sz w:val="28"/>
                <w:szCs w:val="28"/>
              </w:rPr>
              <w:t>一等</w:t>
            </w:r>
          </w:p>
        </w:tc>
        <w:tc>
          <w:tcPr>
            <w:tcW w:w="3686" w:type="dxa"/>
            <w:tcBorders>
              <w:top w:val="single" w:color="auto" w:sz="4" w:space="0"/>
              <w:left w:val="nil"/>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hint="eastAsia" w:ascii="仿宋" w:hAnsi="仿宋" w:eastAsia="仿宋"/>
                <w:sz w:val="28"/>
                <w:szCs w:val="28"/>
              </w:rPr>
              <w:t>1.2万元/生·年</w:t>
            </w:r>
          </w:p>
        </w:tc>
        <w:tc>
          <w:tcPr>
            <w:tcW w:w="2136" w:type="dxa"/>
            <w:tcBorders>
              <w:top w:val="single" w:color="auto" w:sz="4" w:space="0"/>
              <w:left w:val="nil"/>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等</w:t>
            </w:r>
          </w:p>
        </w:tc>
        <w:tc>
          <w:tcPr>
            <w:tcW w:w="3686" w:type="dxa"/>
            <w:tcBorders>
              <w:top w:val="single" w:color="auto" w:sz="4" w:space="0"/>
              <w:left w:val="nil"/>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万元/生·年</w:t>
            </w:r>
          </w:p>
        </w:tc>
        <w:tc>
          <w:tcPr>
            <w:tcW w:w="2136" w:type="dxa"/>
            <w:tcBorders>
              <w:top w:val="single" w:color="auto" w:sz="4" w:space="0"/>
              <w:left w:val="nil"/>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hint="eastAsia" w:ascii="仿宋" w:hAnsi="仿宋" w:eastAsia="仿宋"/>
                <w:sz w:val="28"/>
                <w:szCs w:val="28"/>
              </w:rPr>
              <w:t>三等</w:t>
            </w:r>
          </w:p>
        </w:tc>
        <w:tc>
          <w:tcPr>
            <w:tcW w:w="3686" w:type="dxa"/>
            <w:tcBorders>
              <w:top w:val="single" w:color="auto" w:sz="4" w:space="0"/>
              <w:left w:val="nil"/>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hint="eastAsia" w:ascii="仿宋" w:hAnsi="仿宋" w:eastAsia="仿宋"/>
                <w:sz w:val="28"/>
                <w:szCs w:val="28"/>
              </w:rPr>
              <w:t>0</w:t>
            </w:r>
            <w:r>
              <w:rPr>
                <w:rFonts w:ascii="仿宋" w:hAnsi="仿宋" w:eastAsia="仿宋"/>
                <w:sz w:val="28"/>
                <w:szCs w:val="28"/>
              </w:rPr>
              <w:t>.8</w:t>
            </w:r>
            <w:r>
              <w:rPr>
                <w:rFonts w:hint="eastAsia" w:ascii="仿宋" w:hAnsi="仿宋" w:eastAsia="仿宋"/>
                <w:sz w:val="28"/>
                <w:szCs w:val="28"/>
              </w:rPr>
              <w:t>万元/生·年</w:t>
            </w:r>
          </w:p>
        </w:tc>
        <w:tc>
          <w:tcPr>
            <w:tcW w:w="2136" w:type="dxa"/>
            <w:tcBorders>
              <w:left w:val="nil"/>
              <w:bottom w:val="single" w:color="auto" w:sz="4" w:space="0"/>
              <w:right w:val="single" w:color="auto" w:sz="4" w:space="0"/>
            </w:tcBorders>
            <w:shd w:val="clear" w:color="auto" w:fill="auto"/>
            <w:tcMar>
              <w:top w:w="85" w:type="dxa"/>
              <w:bottom w:w="85" w:type="dxa"/>
            </w:tcMar>
            <w:vAlign w:val="center"/>
          </w:tcPr>
          <w:p>
            <w:pPr>
              <w:spacing w:line="460" w:lineRule="exact"/>
              <w:jc w:val="cente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0</w:t>
            </w:r>
            <w:r>
              <w:rPr>
                <w:rFonts w:hint="eastAsia" w:ascii="仿宋" w:hAnsi="仿宋" w:eastAsia="仿宋"/>
                <w:sz w:val="28"/>
                <w:szCs w:val="28"/>
              </w:rPr>
              <w:t>%</w:t>
            </w:r>
          </w:p>
        </w:tc>
      </w:tr>
    </w:tbl>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（一）参评对象及参评条件</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1、本办法的评定范围为获得武汉理工大学学籍的全日制研究生，委托培养研究生、联合培养研究生、定向（非少骨）、非全日制专业学位研究生不在参评范围内。</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2、热爱社会主义祖国，拥护中国共产党的领导；遵守宪法和法律，遵守高等学校规章制度；诚实守信，道德品质优良。</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3、有以下情况之一者不能参加该年度研究生学业奖学金的评定：</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①参加非法组织及活动，触犯国家法律法规或该学年受到党、团、行政警告及以上处分者（含通报批评）；</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②本学年课程有过不及格或未通过研究生中期筛选者；</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③本学年研究生“三助”考核不合格者；</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④评奖过程中弄虚作假者；</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⑤有学术不端行为者；</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⑥导师认为不宜参评者且不宜参评理由合理；</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⑦超过学校规定期限未注册而又无正当事由者和已办理休学、保留学籍者；</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⑧</w:t>
      </w:r>
      <w:r>
        <w:rPr>
          <w:rFonts w:hint="eastAsia" w:ascii="仿宋" w:hAnsi="仿宋" w:eastAsia="仿宋" w:cs="仿宋"/>
          <w:sz w:val="28"/>
          <w:szCs w:val="28"/>
        </w:rPr>
        <w:t>党员无故不参加党组织活动多于</w:t>
      </w:r>
      <w:r>
        <w:rPr>
          <w:rFonts w:hint="eastAsia" w:ascii="仿宋" w:hAnsi="仿宋" w:eastAsia="仿宋"/>
          <w:sz w:val="28"/>
          <w:szCs w:val="28"/>
        </w:rPr>
        <w:t xml:space="preserve">2次； </w:t>
      </w:r>
    </w:p>
    <w:p>
      <w:pPr>
        <w:spacing w:line="480" w:lineRule="exact"/>
        <w:ind w:firstLine="560" w:firstLineChars="200"/>
      </w:pPr>
      <w:r>
        <w:rPr>
          <w:rFonts w:hint="eastAsia" w:ascii="仿宋" w:hAnsi="仿宋" w:eastAsia="仿宋"/>
          <w:sz w:val="28"/>
          <w:szCs w:val="28"/>
        </w:rPr>
        <w:t>⑨</w:t>
      </w:r>
      <w:r>
        <w:rPr>
          <w:rFonts w:hint="eastAsia" w:ascii="仿宋" w:hAnsi="仿宋" w:eastAsia="仿宋" w:cs="仿宋"/>
          <w:sz w:val="28"/>
          <w:szCs w:val="28"/>
        </w:rPr>
        <w:t>辅导员点名或班会无故缺席多于</w:t>
      </w:r>
      <w:r>
        <w:rPr>
          <w:rFonts w:hint="eastAsia" w:ascii="仿宋" w:hAnsi="仿宋" w:eastAsia="仿宋"/>
          <w:sz w:val="28"/>
          <w:szCs w:val="28"/>
        </w:rPr>
        <w:t>2次。</w:t>
      </w:r>
    </w:p>
    <w:p>
      <w:pPr>
        <w:spacing w:line="480" w:lineRule="exact"/>
        <w:ind w:firstLine="562" w:firstLineChars="200"/>
        <w:rPr>
          <w:rFonts w:ascii="仿宋" w:hAnsi="仿宋" w:eastAsia="仿宋" w:cs="仿宋"/>
          <w:b/>
          <w:bCs/>
          <w:sz w:val="28"/>
          <w:szCs w:val="28"/>
        </w:rPr>
      </w:pP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（二）评定考核办法</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新入校研究生（硕士、博士）学业奖学金评定与研究生录取工作同步进行，根据初试及复试成绩的综合排名，确定每个研究生的学业奖学金等级，由学院研究生工作办公室负责，审核后上报研究生院审批。推荐免试的研究生，入学当年原则上享受一等学业奖学金。</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1、硕士研究生学业奖学金</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硕士研究生第二学年和第三学年，根据研究生学业奖学金考核内容，经学生本人申请，综合评定研究生学业奖学金名额。其考核内容见《马克思主义学院研究生学业奖学金综合测评表》及《马克思主义学院研究生学业奖学金综合测评表填表办法》。</w:t>
      </w:r>
    </w:p>
    <w:p>
      <w:pPr>
        <w:spacing w:line="460" w:lineRule="exact"/>
        <w:ind w:firstLine="562" w:firstLineChars="200"/>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、博士研究生学业奖学金</w:t>
      </w:r>
    </w:p>
    <w:p>
      <w:pPr>
        <w:adjustRightInd w:val="0"/>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博士研究生第二学年、第三学年和第四学年学业奖学金的评定内容包括思想品德、平均学分绩、学术成果、导师评价、社会集体活动参与情况等其他测评参与情况五个方面。其计分方法为：总分=平均学分绩(10%)+学术加分(70%)+导师评价(10%)+社会集体活动等其他测评（10%）。</w:t>
      </w:r>
    </w:p>
    <w:p>
      <w:pPr>
        <w:adjustRightInd w:val="0"/>
        <w:snapToGrid w:val="0"/>
        <w:spacing w:line="520" w:lineRule="exact"/>
        <w:ind w:firstLine="562" w:firstLineChars="200"/>
        <w:rPr>
          <w:rFonts w:ascii="仿宋_GB2312" w:eastAsia="仿宋_GB2312" w:cs="宋体"/>
          <w:b/>
          <w:bCs/>
          <w:sz w:val="28"/>
          <w:szCs w:val="28"/>
        </w:rPr>
      </w:pPr>
      <w:r>
        <w:rPr>
          <w:rFonts w:ascii="仿宋_GB2312" w:eastAsia="仿宋_GB2312" w:cs="宋体"/>
          <w:b/>
          <w:bCs/>
          <w:sz w:val="28"/>
          <w:szCs w:val="28"/>
        </w:rPr>
        <w:t>导师评价</w:t>
      </w:r>
      <w:r>
        <w:rPr>
          <w:rFonts w:hint="eastAsia" w:ascii="仿宋_GB2312" w:eastAsia="仿宋_GB2312" w:cs="宋体"/>
          <w:b/>
          <w:bCs/>
          <w:sz w:val="28"/>
          <w:szCs w:val="28"/>
        </w:rPr>
        <w:t>：</w:t>
      </w:r>
    </w:p>
    <w:p>
      <w:pPr>
        <w:adjustRightInd w:val="0"/>
        <w:snapToGrid w:val="0"/>
        <w:spacing w:line="520" w:lineRule="exact"/>
        <w:ind w:firstLine="560" w:firstLineChars="200"/>
        <w:rPr>
          <w:rFonts w:ascii="仿宋" w:hAnsi="仿宋" w:eastAsia="仿宋"/>
          <w:sz w:val="28"/>
          <w:szCs w:val="28"/>
        </w:rPr>
      </w:pPr>
      <w:r>
        <w:rPr>
          <w:rFonts w:ascii="仿宋_GB2312" w:eastAsia="仿宋_GB2312" w:cs="宋体"/>
          <w:sz w:val="28"/>
          <w:szCs w:val="28"/>
        </w:rPr>
        <w:t>导师对博士研究生学习及科研情况进行评价，总分100分，以最后得分×10%计入最终得分。</w:t>
      </w:r>
    </w:p>
    <w:p>
      <w:pPr>
        <w:adjustRightInd w:val="0"/>
        <w:snapToGrid w:val="0"/>
        <w:spacing w:line="520" w:lineRule="exact"/>
        <w:ind w:firstLine="562" w:firstLineChars="200"/>
        <w:rPr>
          <w:rFonts w:ascii="仿宋_GB2312" w:eastAsia="仿宋_GB2312" w:cs="宋体"/>
          <w:sz w:val="28"/>
          <w:szCs w:val="28"/>
        </w:rPr>
      </w:pPr>
      <w:r>
        <w:rPr>
          <w:rFonts w:ascii="仿宋_GB2312" w:eastAsia="仿宋_GB2312" w:cs="仿宋_GB2312"/>
          <w:b/>
          <w:sz w:val="28"/>
          <w:szCs w:val="28"/>
        </w:rPr>
        <w:t>平均学分绩的计算</w:t>
      </w:r>
      <w:r>
        <w:rPr>
          <w:rFonts w:hint="eastAsia" w:ascii="仿宋_GB2312" w:eastAsia="仿宋_GB2312" w:cs="仿宋_GB2312"/>
          <w:b/>
          <w:sz w:val="28"/>
          <w:szCs w:val="28"/>
        </w:rPr>
        <w:t>：</w:t>
      </w:r>
    </w:p>
    <w:p>
      <w:pPr>
        <w:adjustRightInd w:val="0"/>
        <w:snapToGrid w:val="0"/>
        <w:spacing w:line="520" w:lineRule="exact"/>
        <w:ind w:firstLine="560" w:firstLineChars="200"/>
        <w:rPr>
          <w:rFonts w:ascii="仿宋_GB2312" w:eastAsia="仿宋_GB2312" w:cs="宋体"/>
          <w:sz w:val="28"/>
          <w:szCs w:val="28"/>
        </w:rPr>
      </w:pPr>
      <w:r>
        <w:rPr>
          <w:rFonts w:ascii="仿宋_GB2312" w:eastAsia="仿宋_GB2312" w:cs="仿宋_GB2312"/>
          <w:sz w:val="28"/>
          <w:szCs w:val="28"/>
        </w:rPr>
        <w:t>课程平均计算方法为：</w:t>
      </w:r>
      <w:r>
        <w:rPr>
          <w:rFonts w:ascii="仿宋_GB2312" w:eastAsia="仿宋_GB2312" w:cs="宋体"/>
          <w:sz w:val="28"/>
          <w:szCs w:val="28"/>
        </w:rPr>
        <w:t>∑（本学年度所修课程考核成绩×课程学分）/∑课程学分。研究生二年级的平均学分绩为第一学年全部所修课程的平均学分绩</w:t>
      </w:r>
      <w:r>
        <w:rPr>
          <w:rFonts w:hint="eastAsia" w:ascii="仿宋_GB2312" w:eastAsia="仿宋_GB2312" w:cs="宋体"/>
          <w:sz w:val="28"/>
          <w:szCs w:val="28"/>
        </w:rPr>
        <w:t>；</w:t>
      </w:r>
      <w:r>
        <w:rPr>
          <w:rFonts w:ascii="仿宋_GB2312" w:eastAsia="仿宋_GB2312" w:cs="宋体"/>
          <w:sz w:val="28"/>
          <w:szCs w:val="28"/>
        </w:rPr>
        <w:t>研究生三年级的平均学分绩为第一、第二学年全部所修课程的平均学分绩</w:t>
      </w:r>
      <w:r>
        <w:rPr>
          <w:rFonts w:hint="eastAsia" w:ascii="仿宋_GB2312" w:eastAsia="仿宋_GB2312" w:cs="宋体"/>
          <w:sz w:val="28"/>
          <w:szCs w:val="28"/>
        </w:rPr>
        <w:t>；</w:t>
      </w:r>
      <w:r>
        <w:rPr>
          <w:rFonts w:ascii="仿宋_GB2312" w:eastAsia="仿宋_GB2312" w:cs="宋体"/>
          <w:sz w:val="28"/>
          <w:szCs w:val="28"/>
        </w:rPr>
        <w:t>研究生</w:t>
      </w:r>
      <w:r>
        <w:rPr>
          <w:rFonts w:hint="eastAsia" w:ascii="仿宋_GB2312" w:eastAsia="仿宋_GB2312" w:cs="宋体"/>
          <w:sz w:val="28"/>
          <w:szCs w:val="28"/>
        </w:rPr>
        <w:t>四</w:t>
      </w:r>
      <w:r>
        <w:rPr>
          <w:rFonts w:ascii="仿宋_GB2312" w:eastAsia="仿宋_GB2312" w:cs="宋体"/>
          <w:sz w:val="28"/>
          <w:szCs w:val="28"/>
        </w:rPr>
        <w:t>年级的平均学分绩为第一、第二</w:t>
      </w:r>
      <w:r>
        <w:rPr>
          <w:rFonts w:hint="eastAsia" w:ascii="仿宋_GB2312" w:eastAsia="仿宋_GB2312" w:cs="宋体"/>
          <w:sz w:val="28"/>
          <w:szCs w:val="28"/>
        </w:rPr>
        <w:t>、第三</w:t>
      </w:r>
      <w:r>
        <w:rPr>
          <w:rFonts w:ascii="仿宋_GB2312" w:eastAsia="仿宋_GB2312" w:cs="宋体"/>
          <w:sz w:val="28"/>
          <w:szCs w:val="28"/>
        </w:rPr>
        <w:t>学年全部所修课程的平均学分绩。重修或补考后合格的课程，以60分计入平均学分绩；重修或补考后仍不合格的课程，以几次考试中的较高分计入平均学分绩。</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（三）评定程序</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所有符合本办法规定条件的学生均有资格申请。本人应如实填写《武汉理工大学马克思主义学院研究生学业奖学金申请表》（附件2）、《武汉理工大学马克思主义学院研究生学业奖学金综合测评表》（附件3），并向学院评审委员会提出申请。</w:t>
      </w:r>
    </w:p>
    <w:p>
      <w:pPr>
        <w:autoSpaceDE w:val="0"/>
        <w:spacing w:line="460" w:lineRule="exact"/>
        <w:ind w:firstLine="560" w:firstLineChars="200"/>
        <w:rPr>
          <w:rFonts w:ascii="仿宋" w:hAnsi="仿宋" w:eastAsia="仿宋"/>
          <w:sz w:val="28"/>
          <w:szCs w:val="28"/>
        </w:rPr>
      </w:pPr>
      <w:r>
        <w:rPr>
          <w:rFonts w:hint="eastAsia" w:ascii="仿宋" w:hAnsi="仿宋" w:eastAsia="仿宋"/>
          <w:sz w:val="28"/>
          <w:szCs w:val="28"/>
        </w:rPr>
        <w:t>2、班级评定小组互评。对每位研究生提交的材料进行初审，并将涉及论文、专利等项目按规定给出相应分值。</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3、学院评委会对学生学科专业竞赛的级别、获奖等级进行审核。</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4、学院评委会对初审结果进行评审并将结果公示3天。</w:t>
      </w:r>
    </w:p>
    <w:p>
      <w:pPr>
        <w:spacing w:line="460" w:lineRule="exact"/>
        <w:ind w:firstLine="560" w:firstLineChars="200"/>
        <w:rPr>
          <w:rFonts w:ascii="仿宋" w:hAnsi="仿宋" w:eastAsia="仿宋" w:cs="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对研究生</w:t>
      </w:r>
      <w:r>
        <w:rPr>
          <w:rFonts w:hint="eastAsia" w:ascii="仿宋" w:hAnsi="仿宋" w:eastAsia="仿宋"/>
          <w:sz w:val="28"/>
          <w:szCs w:val="28"/>
          <w:lang w:val="en-US" w:eastAsia="zh-CN"/>
        </w:rPr>
        <w:t>学业</w:t>
      </w:r>
      <w:r>
        <w:rPr>
          <w:rFonts w:hint="eastAsia" w:ascii="仿宋" w:hAnsi="仿宋" w:eastAsia="仿宋"/>
          <w:sz w:val="28"/>
          <w:szCs w:val="28"/>
        </w:rPr>
        <w:t>奖学金评审结果有异议的学生，可在学院公示阶段向所在单位评审委员会提出申诉，评审委员会应及时研究并予以答复。如学生对本单位作出的答复仍存在异议，可在学校公示阶段向学校研究生</w:t>
      </w:r>
      <w:bookmarkStart w:id="1" w:name="_GoBack"/>
      <w:bookmarkEnd w:id="1"/>
      <w:r>
        <w:rPr>
          <w:rFonts w:hint="eastAsia" w:ascii="仿宋" w:hAnsi="仿宋" w:eastAsia="仿宋"/>
          <w:sz w:val="28"/>
          <w:szCs w:val="28"/>
        </w:rPr>
        <w:t>奖学金评审领导小组提请裁决。</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、公示结束后将评定结果上报研究生院审批。</w:t>
      </w:r>
    </w:p>
    <w:p>
      <w:pPr>
        <w:spacing w:line="460" w:lineRule="exact"/>
        <w:ind w:firstLine="560" w:firstLineChars="200"/>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、需提供的材料：</w:t>
      </w:r>
    </w:p>
    <w:p>
      <w:pPr>
        <w:pStyle w:val="5"/>
        <w:widowControl/>
        <w:spacing w:line="460" w:lineRule="exact"/>
        <w:ind w:firstLine="560"/>
        <w:rPr>
          <w:rFonts w:ascii="仿宋" w:hAnsi="仿宋" w:eastAsia="仿宋"/>
          <w:sz w:val="28"/>
          <w:szCs w:val="28"/>
        </w:rPr>
      </w:pPr>
      <w:r>
        <w:rPr>
          <w:rFonts w:hint="eastAsia" w:ascii="仿宋" w:hAnsi="仿宋" w:eastAsia="仿宋" w:cs="仿宋"/>
          <w:sz w:val="28"/>
          <w:szCs w:val="28"/>
        </w:rPr>
        <w:t>①</w:t>
      </w:r>
      <w:r>
        <w:rPr>
          <w:rFonts w:hint="eastAsia" w:ascii="仿宋" w:hAnsi="仿宋" w:eastAsia="仿宋"/>
          <w:sz w:val="28"/>
          <w:szCs w:val="28"/>
        </w:rPr>
        <w:t>科研成果证明材料及获奖证书原件及复印件等；期刊原件及刊登论文的期刊封面、目录和正文复印件等；社会工作任职及公益获奖证书原件及复印件等；在学术会议中宣读论文或进行小组发言，需提供相关会议安排或会议手册作为证明；</w:t>
      </w:r>
    </w:p>
    <w:p>
      <w:pPr>
        <w:spacing w:line="460" w:lineRule="exact"/>
        <w:ind w:firstLine="560" w:firstLineChars="200"/>
        <w:rPr>
          <w:rFonts w:ascii="仿宋" w:hAnsi="仿宋" w:eastAsia="仿宋"/>
          <w:sz w:val="28"/>
          <w:szCs w:val="28"/>
        </w:rPr>
      </w:pPr>
      <w:r>
        <w:rPr>
          <w:rFonts w:hint="eastAsia" w:ascii="仿宋" w:hAnsi="仿宋" w:eastAsia="仿宋" w:cs="仿宋"/>
          <w:sz w:val="28"/>
          <w:szCs w:val="28"/>
        </w:rPr>
        <w:t>②</w:t>
      </w:r>
      <w:r>
        <w:rPr>
          <w:rFonts w:hint="eastAsia" w:ascii="仿宋" w:hAnsi="仿宋" w:eastAsia="仿宋"/>
          <w:sz w:val="28"/>
          <w:szCs w:val="28"/>
        </w:rPr>
        <w:t>研究生</w:t>
      </w:r>
      <w:r>
        <w:rPr>
          <w:rFonts w:hint="eastAsia" w:ascii="仿宋" w:hAnsi="仿宋" w:eastAsia="仿宋" w:cs="仿宋"/>
          <w:sz w:val="28"/>
          <w:szCs w:val="28"/>
        </w:rPr>
        <w:t>学业奖学金论文发表时间认定：前一学年的</w:t>
      </w:r>
      <w:r>
        <w:rPr>
          <w:rFonts w:hint="eastAsia" w:ascii="仿宋" w:hAnsi="仿宋" w:eastAsia="仿宋"/>
          <w:sz w:val="28"/>
          <w:szCs w:val="28"/>
        </w:rPr>
        <w:t>9月1日至本学年度的8月31日；署名认定：申请研究生</w:t>
      </w:r>
      <w:r>
        <w:rPr>
          <w:rFonts w:hint="eastAsia" w:ascii="仿宋" w:hAnsi="仿宋" w:eastAsia="仿宋" w:cs="仿宋"/>
          <w:sz w:val="28"/>
          <w:szCs w:val="28"/>
        </w:rPr>
        <w:t>学业奖学金的研究生本人为第一作者或指导教师为第一作者，研究生本人为第二作者，公开发表第一署名单位为武汉理工大学，所有学术论文均以见刊为准；研究生本人必须为第一作者，或者导师为第一作者，本人为第二作者，学生本人按照本规定的</w:t>
      </w:r>
      <w:r>
        <w:rPr>
          <w:rFonts w:hint="eastAsia" w:ascii="仿宋" w:hAnsi="仿宋" w:eastAsia="仿宋"/>
          <w:sz w:val="28"/>
          <w:szCs w:val="28"/>
        </w:rPr>
        <w:t>80%加分；</w:t>
      </w:r>
    </w:p>
    <w:p>
      <w:pPr>
        <w:autoSpaceDE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③</w:t>
      </w:r>
      <w:r>
        <w:rPr>
          <w:rFonts w:hint="eastAsia" w:ascii="仿宋" w:hAnsi="仿宋" w:eastAsia="仿宋"/>
          <w:sz w:val="28"/>
          <w:szCs w:val="28"/>
        </w:rPr>
        <w:t>不同项目竞赛获奖可累计加分，同项目、不同级别只记一项最高分；学科竞赛名次折算参考学校有关规定执行；</w:t>
      </w:r>
    </w:p>
    <w:p>
      <w:pPr>
        <w:autoSpaceDE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④</w:t>
      </w:r>
      <w:r>
        <w:rPr>
          <w:rFonts w:hint="eastAsia" w:ascii="仿宋" w:hAnsi="仿宋" w:eastAsia="仿宋"/>
          <w:sz w:val="28"/>
          <w:szCs w:val="28"/>
        </w:rPr>
        <w:t>因被检索而加分的论文须提供检索证明。论文见刊时间与能被检索时间不一致的，其加分有效期间按论文见刊时间计算。接受检索证明截止日期为8月31日，检索时间超出该时间范围的不予加分；</w:t>
      </w:r>
    </w:p>
    <w:p>
      <w:pPr>
        <w:autoSpaceDE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⑤</w:t>
      </w:r>
      <w:r>
        <w:rPr>
          <w:rFonts w:hint="eastAsia" w:ascii="仿宋" w:hAnsi="仿宋" w:eastAsia="仿宋"/>
          <w:sz w:val="28"/>
          <w:szCs w:val="28"/>
        </w:rPr>
        <w:t>申请参编教材、学术著作加分，须提供参编教材、学术著作的正式出版物，参与程度应在出版物的文字说明中得到体现。</w:t>
      </w:r>
    </w:p>
    <w:p>
      <w:pPr>
        <w:spacing w:before="156" w:beforeLines="50" w:after="156" w:afterLines="50" w:line="460" w:lineRule="exact"/>
        <w:rPr>
          <w:rFonts w:ascii="仿宋" w:hAnsi="仿宋" w:eastAsia="仿宋"/>
          <w:b/>
          <w:bCs/>
          <w:sz w:val="28"/>
          <w:szCs w:val="28"/>
        </w:rPr>
      </w:pPr>
      <w:r>
        <w:rPr>
          <w:rFonts w:hint="eastAsia" w:ascii="仿宋" w:hAnsi="仿宋" w:eastAsia="仿宋"/>
          <w:b/>
          <w:bCs/>
          <w:sz w:val="28"/>
          <w:szCs w:val="28"/>
        </w:rPr>
        <w:t xml:space="preserve">四、注意事项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1、研究生所提供的各项评定材料必须真实可靠，如发现弄虚作假行为，即取消当年所有奖学金参评资格，已发放的奖学金予以追回，并视其造成的影响按学校有关规定处理。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2、本细则从202</w:t>
      </w:r>
      <w:r>
        <w:rPr>
          <w:rFonts w:ascii="仿宋" w:hAnsi="仿宋" w:eastAsia="仿宋"/>
          <w:sz w:val="28"/>
          <w:szCs w:val="28"/>
        </w:rPr>
        <w:t>3</w:t>
      </w:r>
      <w:r>
        <w:rPr>
          <w:rFonts w:hint="eastAsia" w:ascii="仿宋" w:hAnsi="仿宋" w:eastAsia="仿宋"/>
          <w:sz w:val="28"/>
          <w:szCs w:val="28"/>
        </w:rPr>
        <w:t xml:space="preserve">年开始执行，马克思主义学院研究生奖学金评审委员会具有最终解释权。 </w:t>
      </w:r>
    </w:p>
    <w:p>
      <w:pPr>
        <w:spacing w:line="460" w:lineRule="exact"/>
        <w:ind w:firstLine="560" w:firstLineChars="200"/>
        <w:rPr>
          <w:rFonts w:ascii="仿宋" w:hAnsi="仿宋" w:eastAsia="仿宋"/>
          <w:sz w:val="28"/>
          <w:szCs w:val="28"/>
        </w:rPr>
      </w:pPr>
    </w:p>
    <w:p>
      <w:pPr>
        <w:rPr>
          <w:rFonts w:ascii="华文楷体" w:hAnsi="华文楷体" w:eastAsia="华文楷体" w:cs="华文楷体"/>
          <w:sz w:val="28"/>
          <w:szCs w:val="28"/>
        </w:rPr>
      </w:pPr>
      <w:r>
        <w:rPr>
          <w:rFonts w:hint="eastAsia" w:ascii="华文楷体" w:hAnsi="华文楷体" w:eastAsia="华文楷体" w:cs="华文楷体"/>
          <w:sz w:val="28"/>
          <w:szCs w:val="28"/>
        </w:rPr>
        <w:br w:type="page"/>
      </w:r>
    </w:p>
    <w:p>
      <w:pPr>
        <w:autoSpaceDE w:val="0"/>
        <w:spacing w:line="460" w:lineRule="exact"/>
        <w:rPr>
          <w:rFonts w:ascii="华文楷体" w:hAnsi="华文楷体" w:eastAsia="华文楷体" w:cs="华文楷体"/>
          <w:sz w:val="28"/>
          <w:szCs w:val="28"/>
        </w:rPr>
      </w:pPr>
      <w:r>
        <w:rPr>
          <w:rFonts w:hint="eastAsia" w:ascii="华文楷体" w:hAnsi="华文楷体" w:eastAsia="华文楷体" w:cs="华文楷体"/>
          <w:sz w:val="28"/>
          <w:szCs w:val="28"/>
        </w:rPr>
        <w:t>附件1：</w:t>
      </w:r>
    </w:p>
    <w:tbl>
      <w:tblPr>
        <w:tblStyle w:val="9"/>
        <w:tblW w:w="9578" w:type="dxa"/>
        <w:jc w:val="center"/>
        <w:tblLayout w:type="fixed"/>
        <w:tblCellMar>
          <w:top w:w="15" w:type="dxa"/>
          <w:left w:w="15" w:type="dxa"/>
          <w:bottom w:w="15" w:type="dxa"/>
          <w:right w:w="15" w:type="dxa"/>
        </w:tblCellMar>
      </w:tblPr>
      <w:tblGrid>
        <w:gridCol w:w="341"/>
        <w:gridCol w:w="560"/>
        <w:gridCol w:w="404"/>
        <w:gridCol w:w="3264"/>
        <w:gridCol w:w="3252"/>
        <w:gridCol w:w="453"/>
        <w:gridCol w:w="373"/>
        <w:gridCol w:w="431"/>
        <w:gridCol w:w="500"/>
      </w:tblGrid>
      <w:tr>
        <w:tblPrEx>
          <w:tblCellMar>
            <w:top w:w="15" w:type="dxa"/>
            <w:left w:w="15" w:type="dxa"/>
            <w:bottom w:w="15" w:type="dxa"/>
            <w:right w:w="15" w:type="dxa"/>
          </w:tblCellMar>
        </w:tblPrEx>
        <w:trPr>
          <w:trHeight w:val="187" w:hRule="atLeast"/>
          <w:jc w:val="center"/>
        </w:trPr>
        <w:tc>
          <w:tcPr>
            <w:tcW w:w="9578" w:type="dxa"/>
            <w:gridSpan w:val="9"/>
            <w:tcBorders>
              <w:top w:val="nil"/>
              <w:left w:val="nil"/>
              <w:bottom w:val="nil"/>
              <w:right w:val="nil"/>
            </w:tcBorders>
            <w:shd w:val="clear" w:color="auto" w:fill="auto"/>
            <w:vAlign w:val="bottom"/>
          </w:tcPr>
          <w:p>
            <w:pPr>
              <w:widowControl/>
              <w:autoSpaceDE w:val="0"/>
              <w:spacing w:line="460" w:lineRule="exact"/>
              <w:jc w:val="center"/>
              <w:textAlignment w:val="bottom"/>
              <w:rPr>
                <w:rFonts w:ascii="宋体" w:hAnsi="宋体" w:cs="宋体"/>
                <w:b/>
                <w:sz w:val="28"/>
                <w:szCs w:val="28"/>
              </w:rPr>
            </w:pPr>
            <w:r>
              <w:rPr>
                <w:rFonts w:hint="eastAsia" w:ascii="宋体" w:hAnsi="宋体" w:cs="宋体"/>
                <w:b/>
                <w:kern w:val="0"/>
                <w:sz w:val="28"/>
                <w:szCs w:val="28"/>
              </w:rPr>
              <w:t>马克思主义学院研究生学业奖学金综合测评表</w:t>
            </w:r>
          </w:p>
        </w:tc>
      </w:tr>
      <w:tr>
        <w:tblPrEx>
          <w:tblCellMar>
            <w:top w:w="15" w:type="dxa"/>
            <w:left w:w="15" w:type="dxa"/>
            <w:bottom w:w="15" w:type="dxa"/>
            <w:right w:w="15" w:type="dxa"/>
          </w:tblCellMar>
        </w:tblPrEx>
        <w:trPr>
          <w:trHeight w:val="124" w:hRule="atLeast"/>
          <w:jc w:val="center"/>
        </w:trPr>
        <w:tc>
          <w:tcPr>
            <w:tcW w:w="9578" w:type="dxa"/>
            <w:gridSpan w:val="9"/>
            <w:tcBorders>
              <w:top w:val="nil"/>
              <w:left w:val="nil"/>
              <w:bottom w:val="single" w:color="000000" w:sz="12" w:space="0"/>
              <w:right w:val="nil"/>
            </w:tcBorders>
            <w:shd w:val="clear" w:color="auto" w:fill="auto"/>
            <w:vAlign w:val="center"/>
          </w:tcPr>
          <w:p>
            <w:pPr>
              <w:widowControl/>
              <w:autoSpaceDE w:val="0"/>
              <w:spacing w:line="460" w:lineRule="exact"/>
              <w:jc w:val="left"/>
              <w:textAlignment w:val="center"/>
              <w:rPr>
                <w:rFonts w:ascii="宋体" w:hAnsi="宋体" w:cs="宋体"/>
                <w:b/>
                <w:sz w:val="24"/>
              </w:rPr>
            </w:pPr>
            <w:r>
              <w:rPr>
                <w:rFonts w:hint="eastAsia" w:ascii="宋体" w:hAnsi="宋体" w:cs="宋体"/>
                <w:b/>
                <w:kern w:val="0"/>
                <w:sz w:val="24"/>
              </w:rPr>
              <w:t>年级、专业：                      姓名：                学号：</w:t>
            </w:r>
          </w:p>
        </w:tc>
      </w:tr>
      <w:tr>
        <w:tblPrEx>
          <w:tblCellMar>
            <w:top w:w="15" w:type="dxa"/>
            <w:left w:w="15" w:type="dxa"/>
            <w:bottom w:w="15" w:type="dxa"/>
            <w:right w:w="15" w:type="dxa"/>
          </w:tblCellMar>
        </w:tblPrEx>
        <w:trPr>
          <w:trHeight w:val="284" w:hRule="atLeast"/>
          <w:jc w:val="center"/>
        </w:trPr>
        <w:tc>
          <w:tcPr>
            <w:tcW w:w="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spacing w:line="460" w:lineRule="exact"/>
              <w:jc w:val="center"/>
              <w:textAlignment w:val="center"/>
              <w:rPr>
                <w:rFonts w:ascii="宋体" w:hAnsi="宋体" w:cs="宋体"/>
                <w:b/>
                <w:sz w:val="22"/>
                <w:szCs w:val="22"/>
              </w:rPr>
            </w:pPr>
            <w:r>
              <w:rPr>
                <w:rFonts w:hint="eastAsia" w:ascii="宋体" w:hAnsi="宋体" w:cs="宋体"/>
                <w:b/>
                <w:kern w:val="0"/>
                <w:sz w:val="22"/>
                <w:szCs w:val="22"/>
              </w:rPr>
              <w:t>素质</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460" w:lineRule="exact"/>
              <w:jc w:val="center"/>
              <w:textAlignment w:val="center"/>
              <w:rPr>
                <w:rFonts w:ascii="宋体" w:hAnsi="宋体" w:cs="宋体"/>
                <w:b/>
                <w:sz w:val="22"/>
                <w:szCs w:val="22"/>
              </w:rPr>
            </w:pPr>
            <w:r>
              <w:rPr>
                <w:rFonts w:hint="eastAsia" w:ascii="宋体" w:hAnsi="宋体" w:cs="宋体"/>
                <w:b/>
                <w:kern w:val="0"/>
                <w:sz w:val="22"/>
                <w:szCs w:val="22"/>
              </w:rPr>
              <w:t>指标</w:t>
            </w:r>
          </w:p>
        </w:tc>
        <w:tc>
          <w:tcPr>
            <w:tcW w:w="404"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460" w:lineRule="exact"/>
              <w:jc w:val="center"/>
              <w:textAlignment w:val="center"/>
              <w:rPr>
                <w:rFonts w:ascii="宋体" w:hAnsi="宋体" w:cs="宋体"/>
                <w:b/>
                <w:sz w:val="22"/>
                <w:szCs w:val="22"/>
              </w:rPr>
            </w:pPr>
            <w:r>
              <w:rPr>
                <w:rFonts w:hint="eastAsia" w:ascii="宋体" w:hAnsi="宋体" w:cs="宋体"/>
                <w:b/>
                <w:kern w:val="0"/>
                <w:sz w:val="22"/>
                <w:szCs w:val="22"/>
              </w:rPr>
              <w:t>序号</w:t>
            </w:r>
          </w:p>
        </w:tc>
        <w:tc>
          <w:tcPr>
            <w:tcW w:w="6516" w:type="dxa"/>
            <w:gridSpan w:val="2"/>
            <w:tcBorders>
              <w:top w:val="single" w:color="000000" w:sz="12" w:space="0"/>
              <w:left w:val="nil"/>
              <w:bottom w:val="single" w:color="000000" w:sz="4" w:space="0"/>
              <w:right w:val="single" w:color="000000" w:sz="4" w:space="0"/>
            </w:tcBorders>
            <w:shd w:val="clear" w:color="auto" w:fill="auto"/>
            <w:vAlign w:val="center"/>
          </w:tcPr>
          <w:p>
            <w:pPr>
              <w:widowControl/>
              <w:autoSpaceDE w:val="0"/>
              <w:spacing w:line="460" w:lineRule="exact"/>
              <w:jc w:val="center"/>
              <w:textAlignment w:val="center"/>
              <w:rPr>
                <w:rFonts w:ascii="宋体" w:hAnsi="宋体" w:cs="宋体"/>
                <w:b/>
                <w:sz w:val="22"/>
                <w:szCs w:val="22"/>
              </w:rPr>
            </w:pPr>
            <w:r>
              <w:rPr>
                <w:rFonts w:hint="eastAsia" w:ascii="宋体" w:hAnsi="宋体" w:cs="宋体"/>
                <w:b/>
                <w:kern w:val="0"/>
                <w:sz w:val="22"/>
                <w:szCs w:val="22"/>
              </w:rPr>
              <w:t>评分标准</w:t>
            </w:r>
          </w:p>
        </w:tc>
        <w:tc>
          <w:tcPr>
            <w:tcW w:w="453" w:type="dxa"/>
            <w:tcBorders>
              <w:top w:val="single" w:color="000000" w:sz="12" w:space="0"/>
              <w:left w:val="nil"/>
              <w:bottom w:val="single" w:color="000000" w:sz="4" w:space="0"/>
              <w:right w:val="single" w:color="000000" w:sz="4" w:space="0"/>
            </w:tcBorders>
            <w:shd w:val="clear" w:color="auto" w:fill="auto"/>
            <w:vAlign w:val="center"/>
          </w:tcPr>
          <w:p>
            <w:pPr>
              <w:widowControl/>
              <w:autoSpaceDE w:val="0"/>
              <w:spacing w:line="460" w:lineRule="exact"/>
              <w:jc w:val="center"/>
              <w:textAlignment w:val="center"/>
              <w:rPr>
                <w:rFonts w:ascii="宋体" w:hAnsi="宋体" w:cs="宋体"/>
                <w:b/>
                <w:sz w:val="22"/>
                <w:szCs w:val="22"/>
              </w:rPr>
            </w:pPr>
            <w:r>
              <w:rPr>
                <w:rFonts w:hint="eastAsia" w:ascii="宋体" w:hAnsi="宋体" w:cs="宋体"/>
                <w:b/>
                <w:kern w:val="0"/>
                <w:sz w:val="22"/>
                <w:szCs w:val="22"/>
              </w:rPr>
              <w:t>最高分值</w:t>
            </w:r>
          </w:p>
        </w:tc>
        <w:tc>
          <w:tcPr>
            <w:tcW w:w="373" w:type="dxa"/>
            <w:tcBorders>
              <w:top w:val="single" w:color="000000" w:sz="12" w:space="0"/>
              <w:left w:val="nil"/>
              <w:bottom w:val="single" w:color="000000" w:sz="4" w:space="0"/>
              <w:right w:val="single" w:color="000000" w:sz="4" w:space="0"/>
            </w:tcBorders>
            <w:shd w:val="clear" w:color="auto" w:fill="auto"/>
            <w:vAlign w:val="center"/>
          </w:tcPr>
          <w:p>
            <w:pPr>
              <w:widowControl/>
              <w:autoSpaceDE w:val="0"/>
              <w:spacing w:line="460" w:lineRule="exact"/>
              <w:jc w:val="center"/>
              <w:textAlignment w:val="center"/>
              <w:rPr>
                <w:rFonts w:ascii="宋体" w:hAnsi="宋体" w:cs="宋体"/>
                <w:b/>
                <w:sz w:val="22"/>
                <w:szCs w:val="22"/>
              </w:rPr>
            </w:pPr>
            <w:r>
              <w:rPr>
                <w:rFonts w:hint="eastAsia" w:ascii="宋体" w:hAnsi="宋体" w:cs="宋体"/>
                <w:b/>
                <w:kern w:val="0"/>
                <w:sz w:val="22"/>
                <w:szCs w:val="22"/>
              </w:rPr>
              <w:t>自评</w:t>
            </w:r>
          </w:p>
        </w:tc>
        <w:tc>
          <w:tcPr>
            <w:tcW w:w="431" w:type="dxa"/>
            <w:tcBorders>
              <w:top w:val="single" w:color="000000" w:sz="12" w:space="0"/>
              <w:left w:val="nil"/>
              <w:bottom w:val="single" w:color="000000" w:sz="4" w:space="0"/>
              <w:right w:val="single" w:color="000000" w:sz="4" w:space="0"/>
            </w:tcBorders>
            <w:shd w:val="clear" w:color="auto" w:fill="auto"/>
            <w:vAlign w:val="center"/>
          </w:tcPr>
          <w:p>
            <w:pPr>
              <w:widowControl/>
              <w:autoSpaceDE w:val="0"/>
              <w:spacing w:line="460" w:lineRule="exact"/>
              <w:jc w:val="center"/>
              <w:textAlignment w:val="center"/>
              <w:rPr>
                <w:rFonts w:ascii="宋体" w:hAnsi="宋体" w:cs="宋体"/>
                <w:b/>
                <w:sz w:val="22"/>
                <w:szCs w:val="22"/>
              </w:rPr>
            </w:pPr>
            <w:r>
              <w:rPr>
                <w:rFonts w:hint="eastAsia" w:ascii="宋体" w:hAnsi="宋体" w:cs="宋体"/>
                <w:b/>
                <w:kern w:val="0"/>
                <w:sz w:val="22"/>
                <w:szCs w:val="22"/>
              </w:rPr>
              <w:t>互评</w:t>
            </w:r>
          </w:p>
        </w:tc>
        <w:tc>
          <w:tcPr>
            <w:tcW w:w="500" w:type="dxa"/>
            <w:tcBorders>
              <w:top w:val="single" w:color="000000" w:sz="12" w:space="0"/>
              <w:left w:val="nil"/>
              <w:bottom w:val="single" w:color="000000" w:sz="4" w:space="0"/>
              <w:right w:val="single" w:color="000000" w:sz="4" w:space="0"/>
            </w:tcBorders>
            <w:shd w:val="clear" w:color="auto" w:fill="auto"/>
            <w:vAlign w:val="center"/>
          </w:tcPr>
          <w:p>
            <w:pPr>
              <w:widowControl/>
              <w:autoSpaceDE w:val="0"/>
              <w:spacing w:line="460" w:lineRule="exact"/>
              <w:jc w:val="center"/>
              <w:textAlignment w:val="center"/>
              <w:rPr>
                <w:rFonts w:ascii="宋体" w:hAnsi="宋体" w:cs="宋体"/>
                <w:b/>
                <w:sz w:val="22"/>
                <w:szCs w:val="22"/>
              </w:rPr>
            </w:pPr>
            <w:r>
              <w:rPr>
                <w:rFonts w:hint="eastAsia" w:ascii="宋体" w:hAnsi="宋体" w:cs="宋体"/>
                <w:b/>
                <w:kern w:val="0"/>
                <w:sz w:val="22"/>
                <w:szCs w:val="22"/>
              </w:rPr>
              <w:t>辅导员评分</w:t>
            </w:r>
          </w:p>
        </w:tc>
      </w:tr>
      <w:tr>
        <w:tblPrEx>
          <w:tblCellMar>
            <w:top w:w="15" w:type="dxa"/>
            <w:left w:w="15" w:type="dxa"/>
            <w:bottom w:w="15" w:type="dxa"/>
            <w:right w:w="15" w:type="dxa"/>
          </w:tblCellMar>
        </w:tblPrEx>
        <w:trPr>
          <w:trHeight w:val="278" w:hRule="atLeast"/>
          <w:jc w:val="center"/>
        </w:trPr>
        <w:tc>
          <w:tcPr>
            <w:tcW w:w="341"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德  育</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政治思想表现</w:t>
            </w:r>
          </w:p>
        </w:tc>
        <w:tc>
          <w:tcPr>
            <w:tcW w:w="404"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1</w:t>
            </w:r>
          </w:p>
        </w:tc>
        <w:tc>
          <w:tcPr>
            <w:tcW w:w="6516" w:type="dxa"/>
            <w:gridSpan w:val="2"/>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热爱祖国，拥护中国共产党的领导，努力学习马列主义、毛泽东思想、邓小平理论、“三个代表”重要思想、科学发展观、习近平新时代中国特色社会主义思想，具有实现中华民族伟大复兴的坚定信念</w:t>
            </w:r>
          </w:p>
        </w:tc>
        <w:tc>
          <w:tcPr>
            <w:tcW w:w="453"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5</w:t>
            </w:r>
          </w:p>
        </w:tc>
        <w:tc>
          <w:tcPr>
            <w:tcW w:w="373"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jc w:val="center"/>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jc w:val="center"/>
              <w:rPr>
                <w:rFonts w:ascii="宋体" w:hAnsi="宋体" w:cs="宋体"/>
                <w:sz w:val="20"/>
                <w:szCs w:val="20"/>
              </w:rPr>
            </w:pP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jc w:val="center"/>
              <w:rPr>
                <w:rFonts w:ascii="宋体" w:hAnsi="宋体" w:cs="宋体"/>
                <w:sz w:val="20"/>
                <w:szCs w:val="20"/>
              </w:rPr>
            </w:pPr>
          </w:p>
        </w:tc>
      </w:tr>
      <w:tr>
        <w:tblPrEx>
          <w:tblCellMar>
            <w:top w:w="15" w:type="dxa"/>
            <w:left w:w="15" w:type="dxa"/>
            <w:bottom w:w="15" w:type="dxa"/>
            <w:right w:w="15" w:type="dxa"/>
          </w:tblCellMar>
        </w:tblPrEx>
        <w:trPr>
          <w:trHeight w:val="340"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vMerge w:val="restart"/>
            <w:tcBorders>
              <w:top w:val="nil"/>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道德修养</w:t>
            </w:r>
          </w:p>
        </w:tc>
        <w:tc>
          <w:tcPr>
            <w:tcW w:w="404" w:type="dxa"/>
            <w:vMerge w:val="restart"/>
            <w:tcBorders>
              <w:top w:val="nil"/>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2</w:t>
            </w:r>
          </w:p>
        </w:tc>
        <w:tc>
          <w:tcPr>
            <w:tcW w:w="6516" w:type="dxa"/>
            <w:gridSpan w:val="2"/>
            <w:vMerge w:val="restart"/>
            <w:tcBorders>
              <w:top w:val="nil"/>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遵守社会公德、乐于助人，积极参加志愿服务活动，热爱学校和学院，尊师重道，团结同学，文明礼貌，具有良好的道德品质</w:t>
            </w:r>
          </w:p>
        </w:tc>
        <w:tc>
          <w:tcPr>
            <w:tcW w:w="453" w:type="dxa"/>
            <w:vMerge w:val="restart"/>
            <w:tcBorders>
              <w:top w:val="nil"/>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5</w:t>
            </w:r>
          </w:p>
        </w:tc>
        <w:tc>
          <w:tcPr>
            <w:tcW w:w="373" w:type="dxa"/>
            <w:vMerge w:val="restart"/>
            <w:tcBorders>
              <w:top w:val="nil"/>
              <w:left w:val="nil"/>
              <w:bottom w:val="single" w:color="000000" w:sz="4" w:space="0"/>
              <w:right w:val="single" w:color="000000" w:sz="4" w:space="0"/>
            </w:tcBorders>
            <w:shd w:val="clear" w:color="auto" w:fill="auto"/>
            <w:vAlign w:val="bottom"/>
          </w:tcPr>
          <w:p>
            <w:pPr>
              <w:autoSpaceDE w:val="0"/>
              <w:spacing w:line="340" w:lineRule="exact"/>
              <w:jc w:val="center"/>
              <w:rPr>
                <w:rFonts w:ascii="宋体" w:hAnsi="宋体" w:cs="宋体"/>
                <w:sz w:val="20"/>
                <w:szCs w:val="20"/>
              </w:rPr>
            </w:pPr>
          </w:p>
        </w:tc>
        <w:tc>
          <w:tcPr>
            <w:tcW w:w="431" w:type="dxa"/>
            <w:vMerge w:val="restart"/>
            <w:tcBorders>
              <w:top w:val="nil"/>
              <w:left w:val="nil"/>
              <w:bottom w:val="single" w:color="000000" w:sz="4" w:space="0"/>
              <w:right w:val="single" w:color="000000" w:sz="4" w:space="0"/>
            </w:tcBorders>
            <w:shd w:val="clear" w:color="auto" w:fill="auto"/>
            <w:vAlign w:val="bottom"/>
          </w:tcPr>
          <w:p>
            <w:pPr>
              <w:autoSpaceDE w:val="0"/>
              <w:spacing w:line="340" w:lineRule="exact"/>
              <w:jc w:val="center"/>
              <w:rPr>
                <w:rFonts w:ascii="宋体" w:hAnsi="宋体" w:cs="宋体"/>
                <w:sz w:val="20"/>
                <w:szCs w:val="20"/>
              </w:rPr>
            </w:pPr>
          </w:p>
        </w:tc>
        <w:tc>
          <w:tcPr>
            <w:tcW w:w="500" w:type="dxa"/>
            <w:vMerge w:val="restart"/>
            <w:tcBorders>
              <w:top w:val="nil"/>
              <w:left w:val="nil"/>
              <w:bottom w:val="single" w:color="000000" w:sz="4" w:space="0"/>
              <w:right w:val="single" w:color="000000" w:sz="4" w:space="0"/>
            </w:tcBorders>
            <w:shd w:val="clear" w:color="auto" w:fill="auto"/>
            <w:vAlign w:val="bottom"/>
          </w:tcPr>
          <w:p>
            <w:pPr>
              <w:autoSpaceDE w:val="0"/>
              <w:spacing w:line="340" w:lineRule="exact"/>
              <w:jc w:val="center"/>
              <w:rPr>
                <w:rFonts w:ascii="宋体" w:hAnsi="宋体" w:cs="宋体"/>
                <w:sz w:val="20"/>
                <w:szCs w:val="20"/>
              </w:rPr>
            </w:pPr>
          </w:p>
        </w:tc>
      </w:tr>
      <w:tr>
        <w:tblPrEx>
          <w:tblCellMar>
            <w:top w:w="15" w:type="dxa"/>
            <w:left w:w="15" w:type="dxa"/>
            <w:bottom w:w="15" w:type="dxa"/>
            <w:right w:w="15" w:type="dxa"/>
          </w:tblCellMar>
        </w:tblPrEx>
        <w:trPr>
          <w:trHeight w:val="340"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vMerge w:val="continue"/>
            <w:tcBorders>
              <w:top w:val="nil"/>
              <w:left w:val="nil"/>
              <w:bottom w:val="single" w:color="auto" w:sz="4" w:space="0"/>
              <w:right w:val="single" w:color="auto" w:sz="4" w:space="0"/>
            </w:tcBorders>
            <w:shd w:val="clear" w:color="auto" w:fill="auto"/>
            <w:vAlign w:val="center"/>
          </w:tcPr>
          <w:p>
            <w:pPr>
              <w:spacing w:line="340" w:lineRule="exact"/>
              <w:rPr>
                <w:sz w:val="20"/>
                <w:szCs w:val="20"/>
              </w:rPr>
            </w:pPr>
          </w:p>
        </w:tc>
        <w:tc>
          <w:tcPr>
            <w:tcW w:w="404" w:type="dxa"/>
            <w:vMerge w:val="continue"/>
            <w:tcBorders>
              <w:top w:val="nil"/>
              <w:left w:val="nil"/>
              <w:bottom w:val="single" w:color="auto" w:sz="4" w:space="0"/>
              <w:right w:val="single" w:color="auto" w:sz="4" w:space="0"/>
            </w:tcBorders>
            <w:shd w:val="clear" w:color="auto" w:fill="auto"/>
            <w:vAlign w:val="center"/>
          </w:tcPr>
          <w:p>
            <w:pPr>
              <w:spacing w:line="340" w:lineRule="exact"/>
              <w:rPr>
                <w:sz w:val="20"/>
                <w:szCs w:val="20"/>
              </w:rPr>
            </w:pPr>
          </w:p>
        </w:tc>
        <w:tc>
          <w:tcPr>
            <w:tcW w:w="6516" w:type="dxa"/>
            <w:gridSpan w:val="2"/>
            <w:vMerge w:val="continue"/>
            <w:tcBorders>
              <w:top w:val="nil"/>
              <w:left w:val="nil"/>
              <w:bottom w:val="single" w:color="000000" w:sz="4" w:space="0"/>
              <w:right w:val="single" w:color="000000" w:sz="4" w:space="0"/>
            </w:tcBorders>
            <w:shd w:val="clear" w:color="auto" w:fill="auto"/>
            <w:vAlign w:val="center"/>
          </w:tcPr>
          <w:p>
            <w:pPr>
              <w:spacing w:line="340" w:lineRule="exact"/>
              <w:rPr>
                <w:sz w:val="20"/>
                <w:szCs w:val="20"/>
              </w:rPr>
            </w:pPr>
          </w:p>
        </w:tc>
        <w:tc>
          <w:tcPr>
            <w:tcW w:w="453" w:type="dxa"/>
            <w:vMerge w:val="continue"/>
            <w:tcBorders>
              <w:top w:val="nil"/>
              <w:left w:val="nil"/>
              <w:bottom w:val="single" w:color="000000" w:sz="4" w:space="0"/>
              <w:right w:val="single" w:color="000000" w:sz="4" w:space="0"/>
            </w:tcBorders>
            <w:shd w:val="clear" w:color="auto" w:fill="auto"/>
            <w:vAlign w:val="center"/>
          </w:tcPr>
          <w:p>
            <w:pPr>
              <w:spacing w:line="340" w:lineRule="exact"/>
              <w:rPr>
                <w:sz w:val="20"/>
                <w:szCs w:val="20"/>
              </w:rPr>
            </w:pPr>
          </w:p>
        </w:tc>
        <w:tc>
          <w:tcPr>
            <w:tcW w:w="373" w:type="dxa"/>
            <w:vMerge w:val="continue"/>
            <w:tcBorders>
              <w:top w:val="nil"/>
              <w:left w:val="nil"/>
              <w:bottom w:val="single" w:color="000000" w:sz="4" w:space="0"/>
              <w:right w:val="single" w:color="000000" w:sz="4" w:space="0"/>
            </w:tcBorders>
            <w:shd w:val="clear" w:color="auto" w:fill="auto"/>
            <w:vAlign w:val="bottom"/>
          </w:tcPr>
          <w:p>
            <w:pPr>
              <w:spacing w:line="340" w:lineRule="exact"/>
              <w:rPr>
                <w:sz w:val="20"/>
                <w:szCs w:val="20"/>
              </w:rPr>
            </w:pPr>
          </w:p>
        </w:tc>
        <w:tc>
          <w:tcPr>
            <w:tcW w:w="431" w:type="dxa"/>
            <w:vMerge w:val="continue"/>
            <w:tcBorders>
              <w:top w:val="nil"/>
              <w:left w:val="nil"/>
              <w:bottom w:val="single" w:color="000000" w:sz="4" w:space="0"/>
              <w:right w:val="single" w:color="000000" w:sz="4" w:space="0"/>
            </w:tcBorders>
            <w:shd w:val="clear" w:color="auto" w:fill="auto"/>
            <w:vAlign w:val="bottom"/>
          </w:tcPr>
          <w:p>
            <w:pPr>
              <w:spacing w:line="340" w:lineRule="exact"/>
              <w:rPr>
                <w:sz w:val="20"/>
                <w:szCs w:val="20"/>
              </w:rPr>
            </w:pPr>
          </w:p>
        </w:tc>
        <w:tc>
          <w:tcPr>
            <w:tcW w:w="500" w:type="dxa"/>
            <w:vMerge w:val="continue"/>
            <w:tcBorders>
              <w:top w:val="nil"/>
              <w:left w:val="nil"/>
              <w:bottom w:val="single" w:color="000000" w:sz="4" w:space="0"/>
              <w:right w:val="single" w:color="000000" w:sz="4" w:space="0"/>
            </w:tcBorders>
            <w:shd w:val="clear" w:color="auto" w:fill="auto"/>
            <w:vAlign w:val="bottom"/>
          </w:tcPr>
          <w:p>
            <w:pPr>
              <w:spacing w:line="340" w:lineRule="exact"/>
              <w:rPr>
                <w:sz w:val="20"/>
                <w:szCs w:val="20"/>
              </w:rPr>
            </w:pPr>
          </w:p>
        </w:tc>
      </w:tr>
      <w:tr>
        <w:tblPrEx>
          <w:tblCellMar>
            <w:top w:w="15" w:type="dxa"/>
            <w:left w:w="15" w:type="dxa"/>
            <w:bottom w:w="15" w:type="dxa"/>
            <w:right w:w="15" w:type="dxa"/>
          </w:tblCellMar>
        </w:tblPrEx>
        <w:trPr>
          <w:trHeight w:val="340"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vMerge w:val="restart"/>
            <w:tcBorders>
              <w:top w:val="nil"/>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遵纪守法</w:t>
            </w:r>
          </w:p>
        </w:tc>
        <w:tc>
          <w:tcPr>
            <w:tcW w:w="404" w:type="dxa"/>
            <w:vMerge w:val="restart"/>
            <w:tcBorders>
              <w:top w:val="nil"/>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3</w:t>
            </w:r>
          </w:p>
        </w:tc>
        <w:tc>
          <w:tcPr>
            <w:tcW w:w="6516" w:type="dxa"/>
            <w:gridSpan w:val="2"/>
            <w:vMerge w:val="restart"/>
            <w:tcBorders>
              <w:top w:val="nil"/>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遵守宪法、法律和学校的规章制度，自觉克服不良倾向，正确行使权利，依法履行义务，敢于并善于同违法违纪行为作斗争</w:t>
            </w:r>
          </w:p>
        </w:tc>
        <w:tc>
          <w:tcPr>
            <w:tcW w:w="453" w:type="dxa"/>
            <w:vMerge w:val="restart"/>
            <w:tcBorders>
              <w:top w:val="nil"/>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5</w:t>
            </w:r>
          </w:p>
        </w:tc>
        <w:tc>
          <w:tcPr>
            <w:tcW w:w="373" w:type="dxa"/>
            <w:vMerge w:val="restart"/>
            <w:tcBorders>
              <w:top w:val="nil"/>
              <w:left w:val="nil"/>
              <w:bottom w:val="single" w:color="000000" w:sz="4" w:space="0"/>
              <w:right w:val="single" w:color="000000" w:sz="4" w:space="0"/>
            </w:tcBorders>
            <w:shd w:val="clear" w:color="auto" w:fill="auto"/>
            <w:vAlign w:val="bottom"/>
          </w:tcPr>
          <w:p>
            <w:pPr>
              <w:autoSpaceDE w:val="0"/>
              <w:spacing w:line="340" w:lineRule="exact"/>
              <w:jc w:val="center"/>
              <w:rPr>
                <w:rFonts w:ascii="宋体" w:hAnsi="宋体" w:cs="宋体"/>
                <w:sz w:val="20"/>
                <w:szCs w:val="20"/>
              </w:rPr>
            </w:pPr>
          </w:p>
        </w:tc>
        <w:tc>
          <w:tcPr>
            <w:tcW w:w="431" w:type="dxa"/>
            <w:vMerge w:val="restart"/>
            <w:tcBorders>
              <w:top w:val="nil"/>
              <w:left w:val="nil"/>
              <w:bottom w:val="single" w:color="000000" w:sz="4" w:space="0"/>
              <w:right w:val="single" w:color="000000" w:sz="4" w:space="0"/>
            </w:tcBorders>
            <w:shd w:val="clear" w:color="auto" w:fill="auto"/>
            <w:vAlign w:val="bottom"/>
          </w:tcPr>
          <w:p>
            <w:pPr>
              <w:autoSpaceDE w:val="0"/>
              <w:spacing w:line="340" w:lineRule="exact"/>
              <w:jc w:val="center"/>
              <w:rPr>
                <w:rFonts w:ascii="宋体" w:hAnsi="宋体" w:cs="宋体"/>
                <w:sz w:val="20"/>
                <w:szCs w:val="20"/>
              </w:rPr>
            </w:pPr>
          </w:p>
        </w:tc>
        <w:tc>
          <w:tcPr>
            <w:tcW w:w="500" w:type="dxa"/>
            <w:vMerge w:val="restart"/>
            <w:tcBorders>
              <w:top w:val="nil"/>
              <w:left w:val="nil"/>
              <w:bottom w:val="single" w:color="000000" w:sz="4" w:space="0"/>
              <w:right w:val="single" w:color="000000" w:sz="4" w:space="0"/>
            </w:tcBorders>
            <w:shd w:val="clear" w:color="auto" w:fill="auto"/>
            <w:vAlign w:val="bottom"/>
          </w:tcPr>
          <w:p>
            <w:pPr>
              <w:autoSpaceDE w:val="0"/>
              <w:spacing w:line="340" w:lineRule="exact"/>
              <w:jc w:val="center"/>
              <w:rPr>
                <w:rFonts w:ascii="宋体" w:hAnsi="宋体" w:cs="宋体"/>
                <w:sz w:val="20"/>
                <w:szCs w:val="20"/>
              </w:rPr>
            </w:pPr>
          </w:p>
        </w:tc>
      </w:tr>
      <w:tr>
        <w:tblPrEx>
          <w:tblCellMar>
            <w:top w:w="15" w:type="dxa"/>
            <w:left w:w="15" w:type="dxa"/>
            <w:bottom w:w="15" w:type="dxa"/>
            <w:right w:w="15" w:type="dxa"/>
          </w:tblCellMar>
        </w:tblPrEx>
        <w:trPr>
          <w:trHeight w:val="340"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vMerge w:val="continue"/>
            <w:tcBorders>
              <w:top w:val="nil"/>
              <w:left w:val="nil"/>
              <w:bottom w:val="single" w:color="auto" w:sz="4" w:space="0"/>
              <w:right w:val="single" w:color="auto" w:sz="4" w:space="0"/>
            </w:tcBorders>
            <w:shd w:val="clear" w:color="auto" w:fill="auto"/>
            <w:vAlign w:val="center"/>
          </w:tcPr>
          <w:p>
            <w:pPr>
              <w:spacing w:line="340" w:lineRule="exact"/>
              <w:rPr>
                <w:sz w:val="20"/>
                <w:szCs w:val="20"/>
              </w:rPr>
            </w:pPr>
          </w:p>
        </w:tc>
        <w:tc>
          <w:tcPr>
            <w:tcW w:w="404" w:type="dxa"/>
            <w:vMerge w:val="continue"/>
            <w:tcBorders>
              <w:top w:val="nil"/>
              <w:left w:val="nil"/>
              <w:bottom w:val="single" w:color="auto" w:sz="4" w:space="0"/>
              <w:right w:val="single" w:color="auto" w:sz="4" w:space="0"/>
            </w:tcBorders>
            <w:shd w:val="clear" w:color="auto" w:fill="auto"/>
            <w:vAlign w:val="center"/>
          </w:tcPr>
          <w:p>
            <w:pPr>
              <w:spacing w:line="340" w:lineRule="exact"/>
              <w:rPr>
                <w:sz w:val="20"/>
                <w:szCs w:val="20"/>
              </w:rPr>
            </w:pPr>
          </w:p>
        </w:tc>
        <w:tc>
          <w:tcPr>
            <w:tcW w:w="6516" w:type="dxa"/>
            <w:gridSpan w:val="2"/>
            <w:vMerge w:val="continue"/>
            <w:tcBorders>
              <w:top w:val="nil"/>
              <w:left w:val="nil"/>
              <w:bottom w:val="single" w:color="000000" w:sz="4" w:space="0"/>
              <w:right w:val="single" w:color="000000" w:sz="4" w:space="0"/>
            </w:tcBorders>
            <w:shd w:val="clear" w:color="auto" w:fill="auto"/>
            <w:vAlign w:val="center"/>
          </w:tcPr>
          <w:p>
            <w:pPr>
              <w:spacing w:line="340" w:lineRule="exact"/>
              <w:rPr>
                <w:sz w:val="20"/>
                <w:szCs w:val="20"/>
              </w:rPr>
            </w:pPr>
          </w:p>
        </w:tc>
        <w:tc>
          <w:tcPr>
            <w:tcW w:w="453" w:type="dxa"/>
            <w:vMerge w:val="continue"/>
            <w:tcBorders>
              <w:top w:val="nil"/>
              <w:left w:val="nil"/>
              <w:bottom w:val="single" w:color="000000" w:sz="4" w:space="0"/>
              <w:right w:val="single" w:color="000000" w:sz="4" w:space="0"/>
            </w:tcBorders>
            <w:shd w:val="clear" w:color="auto" w:fill="auto"/>
            <w:vAlign w:val="center"/>
          </w:tcPr>
          <w:p>
            <w:pPr>
              <w:spacing w:line="340" w:lineRule="exact"/>
              <w:rPr>
                <w:sz w:val="20"/>
                <w:szCs w:val="20"/>
              </w:rPr>
            </w:pPr>
          </w:p>
        </w:tc>
        <w:tc>
          <w:tcPr>
            <w:tcW w:w="373" w:type="dxa"/>
            <w:vMerge w:val="continue"/>
            <w:tcBorders>
              <w:top w:val="nil"/>
              <w:left w:val="nil"/>
              <w:bottom w:val="single" w:color="000000" w:sz="4" w:space="0"/>
              <w:right w:val="single" w:color="000000" w:sz="4" w:space="0"/>
            </w:tcBorders>
            <w:shd w:val="clear" w:color="auto" w:fill="auto"/>
            <w:vAlign w:val="bottom"/>
          </w:tcPr>
          <w:p>
            <w:pPr>
              <w:spacing w:line="340" w:lineRule="exact"/>
              <w:rPr>
                <w:sz w:val="20"/>
                <w:szCs w:val="20"/>
              </w:rPr>
            </w:pPr>
          </w:p>
        </w:tc>
        <w:tc>
          <w:tcPr>
            <w:tcW w:w="431" w:type="dxa"/>
            <w:vMerge w:val="continue"/>
            <w:tcBorders>
              <w:top w:val="nil"/>
              <w:left w:val="nil"/>
              <w:bottom w:val="single" w:color="000000" w:sz="4" w:space="0"/>
              <w:right w:val="single" w:color="000000" w:sz="4" w:space="0"/>
            </w:tcBorders>
            <w:shd w:val="clear" w:color="auto" w:fill="auto"/>
            <w:vAlign w:val="bottom"/>
          </w:tcPr>
          <w:p>
            <w:pPr>
              <w:spacing w:line="340" w:lineRule="exact"/>
              <w:rPr>
                <w:sz w:val="20"/>
                <w:szCs w:val="20"/>
              </w:rPr>
            </w:pPr>
          </w:p>
        </w:tc>
        <w:tc>
          <w:tcPr>
            <w:tcW w:w="500" w:type="dxa"/>
            <w:vMerge w:val="continue"/>
            <w:tcBorders>
              <w:top w:val="nil"/>
              <w:left w:val="nil"/>
              <w:bottom w:val="single" w:color="000000" w:sz="4" w:space="0"/>
              <w:right w:val="single" w:color="000000" w:sz="4" w:space="0"/>
            </w:tcBorders>
            <w:shd w:val="clear" w:color="auto" w:fill="auto"/>
            <w:vAlign w:val="bottom"/>
          </w:tcPr>
          <w:p>
            <w:pPr>
              <w:spacing w:line="340" w:lineRule="exact"/>
              <w:rPr>
                <w:sz w:val="20"/>
                <w:szCs w:val="20"/>
              </w:rPr>
            </w:pPr>
          </w:p>
        </w:tc>
      </w:tr>
      <w:tr>
        <w:tblPrEx>
          <w:tblCellMar>
            <w:top w:w="15" w:type="dxa"/>
            <w:left w:w="15" w:type="dxa"/>
            <w:bottom w:w="15" w:type="dxa"/>
            <w:right w:w="15" w:type="dxa"/>
          </w:tblCellMar>
        </w:tblPrEx>
        <w:trPr>
          <w:trHeight w:val="190"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vMerge w:val="restart"/>
            <w:tcBorders>
              <w:top w:val="nil"/>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发挥典型示范作用</w:t>
            </w:r>
          </w:p>
        </w:tc>
        <w:tc>
          <w:tcPr>
            <w:tcW w:w="404"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4</w:t>
            </w:r>
          </w:p>
        </w:tc>
        <w:tc>
          <w:tcPr>
            <w:tcW w:w="6516" w:type="dxa"/>
            <w:gridSpan w:val="2"/>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学生在精神文明建设活动中表现突出获得市级表彰记5分；获得省级表彰记10分；获得国家级表彰记20分</w:t>
            </w:r>
          </w:p>
        </w:tc>
        <w:tc>
          <w:tcPr>
            <w:tcW w:w="453" w:type="dxa"/>
            <w:tcBorders>
              <w:top w:val="nil"/>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20</w:t>
            </w:r>
          </w:p>
        </w:tc>
        <w:tc>
          <w:tcPr>
            <w:tcW w:w="373" w:type="dxa"/>
            <w:tcBorders>
              <w:top w:val="nil"/>
              <w:left w:val="nil"/>
              <w:bottom w:val="single" w:color="000000" w:sz="4" w:space="0"/>
              <w:right w:val="single" w:color="000000" w:sz="4" w:space="0"/>
            </w:tcBorders>
            <w:shd w:val="clear" w:color="auto" w:fill="auto"/>
            <w:vAlign w:val="bottom"/>
          </w:tcPr>
          <w:p>
            <w:pPr>
              <w:autoSpaceDE w:val="0"/>
              <w:spacing w:line="340" w:lineRule="exact"/>
              <w:jc w:val="center"/>
              <w:rPr>
                <w:rFonts w:ascii="宋体" w:hAnsi="宋体" w:cs="宋体"/>
                <w:sz w:val="20"/>
                <w:szCs w:val="20"/>
              </w:rPr>
            </w:pPr>
          </w:p>
        </w:tc>
        <w:tc>
          <w:tcPr>
            <w:tcW w:w="431" w:type="dxa"/>
            <w:tcBorders>
              <w:top w:val="nil"/>
              <w:left w:val="nil"/>
              <w:bottom w:val="single" w:color="000000" w:sz="4" w:space="0"/>
              <w:right w:val="single" w:color="000000" w:sz="4" w:space="0"/>
            </w:tcBorders>
            <w:shd w:val="clear" w:color="auto" w:fill="auto"/>
            <w:vAlign w:val="bottom"/>
          </w:tcPr>
          <w:p>
            <w:pPr>
              <w:autoSpaceDE w:val="0"/>
              <w:spacing w:line="340" w:lineRule="exact"/>
              <w:jc w:val="center"/>
              <w:rPr>
                <w:rFonts w:ascii="宋体" w:hAnsi="宋体" w:cs="宋体"/>
                <w:sz w:val="20"/>
                <w:szCs w:val="20"/>
              </w:rPr>
            </w:pPr>
          </w:p>
        </w:tc>
        <w:tc>
          <w:tcPr>
            <w:tcW w:w="500" w:type="dxa"/>
            <w:tcBorders>
              <w:top w:val="nil"/>
              <w:left w:val="nil"/>
              <w:bottom w:val="single" w:color="000000" w:sz="4" w:space="0"/>
              <w:right w:val="single" w:color="000000" w:sz="4" w:space="0"/>
            </w:tcBorders>
            <w:shd w:val="clear" w:color="auto" w:fill="auto"/>
            <w:vAlign w:val="bottom"/>
          </w:tcPr>
          <w:p>
            <w:pPr>
              <w:autoSpaceDE w:val="0"/>
              <w:spacing w:line="340" w:lineRule="exact"/>
              <w:jc w:val="center"/>
              <w:rPr>
                <w:rFonts w:ascii="宋体" w:hAnsi="宋体" w:cs="宋体"/>
                <w:sz w:val="20"/>
                <w:szCs w:val="20"/>
              </w:rPr>
            </w:pPr>
          </w:p>
        </w:tc>
      </w:tr>
      <w:tr>
        <w:tblPrEx>
          <w:tblCellMar>
            <w:top w:w="15" w:type="dxa"/>
            <w:left w:w="15" w:type="dxa"/>
            <w:bottom w:w="15" w:type="dxa"/>
            <w:right w:w="15" w:type="dxa"/>
          </w:tblCellMar>
        </w:tblPrEx>
        <w:trPr>
          <w:trHeight w:val="367"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vMerge w:val="continue"/>
            <w:tcBorders>
              <w:top w:val="nil"/>
              <w:left w:val="nil"/>
              <w:bottom w:val="single" w:color="auto" w:sz="4" w:space="0"/>
              <w:right w:val="single" w:color="auto" w:sz="4" w:space="0"/>
            </w:tcBorders>
            <w:shd w:val="clear" w:color="auto" w:fill="auto"/>
            <w:vAlign w:val="center"/>
          </w:tcPr>
          <w:p>
            <w:pPr>
              <w:spacing w:line="340" w:lineRule="exact"/>
              <w:rPr>
                <w:sz w:val="20"/>
                <w:szCs w:val="20"/>
              </w:rPr>
            </w:pPr>
          </w:p>
        </w:tc>
        <w:tc>
          <w:tcPr>
            <w:tcW w:w="404"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5</w:t>
            </w:r>
          </w:p>
        </w:tc>
        <w:tc>
          <w:tcPr>
            <w:tcW w:w="6516" w:type="dxa"/>
            <w:gridSpan w:val="2"/>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个人典型事迹在省市级以上具有较强社会影响力的媒体中得到宣传报道，起到典型示范作用，获得良好的社会声誉，根据报道媒体的影响力每篇报道记1—3分（同一事迹被相同级别的不同媒体多次报道，不累计加分）</w:t>
            </w:r>
          </w:p>
        </w:tc>
        <w:tc>
          <w:tcPr>
            <w:tcW w:w="453"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不限</w:t>
            </w:r>
          </w:p>
        </w:tc>
        <w:tc>
          <w:tcPr>
            <w:tcW w:w="373"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90" w:hRule="atLeast"/>
          <w:jc w:val="center"/>
        </w:trPr>
        <w:tc>
          <w:tcPr>
            <w:tcW w:w="341"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智育</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学习成绩</w:t>
            </w:r>
          </w:p>
        </w:tc>
        <w:tc>
          <w:tcPr>
            <w:tcW w:w="404"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6</w:t>
            </w:r>
          </w:p>
        </w:tc>
        <w:tc>
          <w:tcPr>
            <w:tcW w:w="6516" w:type="dxa"/>
            <w:gridSpan w:val="2"/>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 xml:space="preserve">∑（所修课程考核成绩×课程学分）／∑课程学分 </w:t>
            </w:r>
          </w:p>
        </w:tc>
        <w:tc>
          <w:tcPr>
            <w:tcW w:w="453"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p>
        </w:tc>
        <w:tc>
          <w:tcPr>
            <w:tcW w:w="373"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545"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参加学术活动</w:t>
            </w:r>
          </w:p>
        </w:tc>
        <w:tc>
          <w:tcPr>
            <w:tcW w:w="404"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7</w:t>
            </w:r>
          </w:p>
        </w:tc>
        <w:tc>
          <w:tcPr>
            <w:tcW w:w="6516" w:type="dxa"/>
            <w:gridSpan w:val="2"/>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学年度每参加一次记1分，参加八次及八次以上记8分；学年度在国际学术会议上报告发言记5分；学年度在全国学术会议上报告发言记3分；学年度在省级学术会议报告发言记2分；学年度在校级学术会议报告发言1次记1分</w:t>
            </w:r>
          </w:p>
        </w:tc>
        <w:tc>
          <w:tcPr>
            <w:tcW w:w="453"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不限</w:t>
            </w:r>
          </w:p>
        </w:tc>
        <w:tc>
          <w:tcPr>
            <w:tcW w:w="373"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721"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发表论文</w:t>
            </w:r>
          </w:p>
        </w:tc>
        <w:tc>
          <w:tcPr>
            <w:tcW w:w="404"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8</w:t>
            </w:r>
          </w:p>
        </w:tc>
        <w:tc>
          <w:tcPr>
            <w:tcW w:w="6516" w:type="dxa"/>
            <w:gridSpan w:val="2"/>
            <w:tcBorders>
              <w:top w:val="single" w:color="000000" w:sz="4" w:space="0"/>
              <w:left w:val="nil"/>
              <w:bottom w:val="single" w:color="000000" w:sz="4" w:space="0"/>
              <w:right w:val="single" w:color="000000" w:sz="4" w:space="0"/>
            </w:tcBorders>
            <w:shd w:val="clear" w:color="auto" w:fill="auto"/>
            <w:vAlign w:val="center"/>
          </w:tcPr>
          <w:p>
            <w:pPr>
              <w:spacing w:line="340" w:lineRule="exact"/>
              <w:ind w:firstLine="400" w:firstLineChars="200"/>
              <w:rPr>
                <w:rFonts w:ascii="宋体" w:hAnsi="宋体" w:cs="宋体"/>
                <w:kern w:val="0"/>
                <w:sz w:val="20"/>
                <w:szCs w:val="20"/>
              </w:rPr>
            </w:pPr>
            <w:r>
              <w:rPr>
                <w:rFonts w:hint="eastAsia" w:ascii="宋体" w:hAnsi="宋体" w:cs="宋体"/>
                <w:kern w:val="0"/>
                <w:sz w:val="20"/>
                <w:szCs w:val="20"/>
              </w:rPr>
              <w:t>①学年度在第一档（武汉理工大学申请学位学术成果明细）发表论文1篇记40分，可累计加分；</w:t>
            </w:r>
          </w:p>
          <w:p>
            <w:pPr>
              <w:spacing w:line="340" w:lineRule="exact"/>
              <w:ind w:firstLine="400" w:firstLineChars="200"/>
              <w:rPr>
                <w:rFonts w:ascii="宋体" w:hAnsi="宋体" w:cs="宋体"/>
                <w:kern w:val="0"/>
                <w:sz w:val="20"/>
                <w:szCs w:val="20"/>
              </w:rPr>
            </w:pPr>
            <w:r>
              <w:rPr>
                <w:rFonts w:hint="eastAsia" w:ascii="宋体" w:hAnsi="宋体" w:cs="宋体"/>
                <w:kern w:val="0"/>
                <w:sz w:val="20"/>
                <w:szCs w:val="20"/>
              </w:rPr>
              <w:t>②学年度在第二档（武汉理工大学申请学位学术成果明细）发表论文1篇记30分，可累计加分；</w:t>
            </w:r>
          </w:p>
          <w:p>
            <w:pPr>
              <w:spacing w:line="340" w:lineRule="exact"/>
              <w:ind w:firstLine="400" w:firstLineChars="200"/>
              <w:rPr>
                <w:rFonts w:ascii="宋体" w:hAnsi="宋体" w:cs="宋体"/>
                <w:kern w:val="0"/>
                <w:sz w:val="20"/>
                <w:szCs w:val="20"/>
              </w:rPr>
            </w:pPr>
            <w:r>
              <w:rPr>
                <w:rFonts w:hint="eastAsia" w:ascii="宋体" w:hAnsi="宋体" w:cs="宋体"/>
                <w:kern w:val="0"/>
                <w:sz w:val="20"/>
                <w:szCs w:val="20"/>
              </w:rPr>
              <w:t>③学年度在第三档（武汉理工大学申请学位学术成果明细）发表论文1篇记20分，可累计加分；</w:t>
            </w:r>
          </w:p>
          <w:p>
            <w:pPr>
              <w:spacing w:line="340" w:lineRule="exact"/>
              <w:ind w:firstLine="400" w:firstLineChars="200"/>
              <w:rPr>
                <w:rFonts w:ascii="宋体" w:hAnsi="宋体" w:cs="宋体"/>
                <w:kern w:val="0"/>
                <w:sz w:val="20"/>
                <w:szCs w:val="20"/>
              </w:rPr>
            </w:pPr>
            <w:r>
              <w:rPr>
                <w:rFonts w:hint="eastAsia" w:ascii="宋体" w:hAnsi="宋体" w:cs="宋体"/>
                <w:kern w:val="0"/>
                <w:sz w:val="20"/>
                <w:szCs w:val="20"/>
              </w:rPr>
              <w:t>④学年度在第四、五档（武汉理工大学申请学位学术成果明细）发表论文1篇记12分，可累计加分；</w:t>
            </w:r>
          </w:p>
          <w:p>
            <w:pPr>
              <w:spacing w:line="340" w:lineRule="exact"/>
              <w:ind w:firstLine="400" w:firstLineChars="200"/>
              <w:rPr>
                <w:rFonts w:ascii="宋体" w:hAnsi="宋体" w:cs="宋体"/>
                <w:kern w:val="0"/>
                <w:sz w:val="20"/>
                <w:szCs w:val="20"/>
              </w:rPr>
            </w:pPr>
            <w:r>
              <w:rPr>
                <w:rFonts w:hint="eastAsia" w:ascii="宋体" w:hAnsi="宋体" w:cs="宋体"/>
                <w:kern w:val="0"/>
                <w:sz w:val="20"/>
                <w:szCs w:val="20"/>
              </w:rPr>
              <w:t>⑤学年度在国内外专业学术组织举办的国际学术会议出版的论文集，被CPCI、ISTP收录的论文及学年度出版学术合著、参编、编著教材等记7分，可累计加分；（在教材中有明确注明作者为学生本人且学生撰写字数达到20000字以上）</w:t>
            </w:r>
          </w:p>
          <w:p>
            <w:pPr>
              <w:autoSpaceDE w:val="0"/>
              <w:spacing w:line="340" w:lineRule="exact"/>
              <w:ind w:firstLine="400" w:firstLineChars="200"/>
              <w:rPr>
                <w:rFonts w:ascii="宋体" w:hAnsi="宋体" w:cs="宋体"/>
                <w:kern w:val="0"/>
                <w:sz w:val="20"/>
                <w:szCs w:val="20"/>
              </w:rPr>
            </w:pPr>
            <w:r>
              <w:rPr>
                <w:rFonts w:hint="eastAsia" w:ascii="宋体" w:hAnsi="宋体" w:cs="宋体"/>
                <w:kern w:val="0"/>
                <w:sz w:val="20"/>
                <w:szCs w:val="20"/>
              </w:rPr>
              <w:t>⑥学年度参加省部级及以上学术会议并提交学术论文且被编入会议论文集公开发行的，或学年度在第六档（武汉理工大学申请学位学术成果明细）发表论文1篇计4分。在第七档及以上目录外学术期刊公开发表学术论文1篇的计2分，原则上加分不超过2篇。</w:t>
            </w:r>
          </w:p>
        </w:tc>
        <w:tc>
          <w:tcPr>
            <w:tcW w:w="453"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不限</w:t>
            </w:r>
          </w:p>
        </w:tc>
        <w:tc>
          <w:tcPr>
            <w:tcW w:w="373"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441"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vMerge w:val="restart"/>
            <w:tcBorders>
              <w:top w:val="nil"/>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学科学术竞赛</w:t>
            </w:r>
          </w:p>
        </w:tc>
        <w:tc>
          <w:tcPr>
            <w:tcW w:w="404" w:type="dxa"/>
            <w:vMerge w:val="restart"/>
            <w:tcBorders>
              <w:top w:val="nil"/>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9</w:t>
            </w:r>
          </w:p>
        </w:tc>
        <w:tc>
          <w:tcPr>
            <w:tcW w:w="6516" w:type="dxa"/>
            <w:gridSpan w:val="2"/>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国家级特等奖记50分、一等奖记40分、二等奖30分、三等奖15分</w:t>
            </w:r>
          </w:p>
        </w:tc>
        <w:tc>
          <w:tcPr>
            <w:tcW w:w="453"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不限</w:t>
            </w:r>
          </w:p>
        </w:tc>
        <w:tc>
          <w:tcPr>
            <w:tcW w:w="373"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434"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vMerge w:val="continue"/>
            <w:tcBorders>
              <w:top w:val="nil"/>
              <w:left w:val="nil"/>
              <w:bottom w:val="single" w:color="auto" w:sz="4" w:space="0"/>
              <w:right w:val="single" w:color="auto" w:sz="4" w:space="0"/>
            </w:tcBorders>
            <w:shd w:val="clear" w:color="auto" w:fill="auto"/>
            <w:vAlign w:val="center"/>
          </w:tcPr>
          <w:p>
            <w:pPr>
              <w:spacing w:line="340" w:lineRule="exact"/>
              <w:rPr>
                <w:sz w:val="20"/>
                <w:szCs w:val="20"/>
              </w:rPr>
            </w:pPr>
          </w:p>
        </w:tc>
        <w:tc>
          <w:tcPr>
            <w:tcW w:w="404" w:type="dxa"/>
            <w:vMerge w:val="continue"/>
            <w:tcBorders>
              <w:top w:val="nil"/>
              <w:left w:val="nil"/>
              <w:bottom w:val="single" w:color="auto" w:sz="4" w:space="0"/>
              <w:right w:val="single" w:color="auto" w:sz="4" w:space="0"/>
            </w:tcBorders>
            <w:shd w:val="clear" w:color="auto" w:fill="auto"/>
            <w:vAlign w:val="center"/>
          </w:tcPr>
          <w:p>
            <w:pPr>
              <w:spacing w:line="340" w:lineRule="exact"/>
              <w:rPr>
                <w:sz w:val="20"/>
                <w:szCs w:val="20"/>
              </w:rPr>
            </w:pPr>
          </w:p>
        </w:tc>
        <w:tc>
          <w:tcPr>
            <w:tcW w:w="6516" w:type="dxa"/>
            <w:gridSpan w:val="2"/>
            <w:tcBorders>
              <w:top w:val="single" w:color="000000" w:sz="4" w:space="0"/>
              <w:left w:val="nil"/>
              <w:bottom w:val="single" w:color="auto"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省级特等奖记15分、一等奖10分、二等奖6分、三等奖4分</w:t>
            </w:r>
          </w:p>
        </w:tc>
        <w:tc>
          <w:tcPr>
            <w:tcW w:w="453" w:type="dxa"/>
            <w:tcBorders>
              <w:top w:val="single" w:color="000000" w:sz="4" w:space="0"/>
              <w:left w:val="nil"/>
              <w:bottom w:val="single" w:color="auto"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不限</w:t>
            </w:r>
          </w:p>
        </w:tc>
        <w:tc>
          <w:tcPr>
            <w:tcW w:w="373" w:type="dxa"/>
            <w:tcBorders>
              <w:top w:val="single" w:color="000000" w:sz="4" w:space="0"/>
              <w:left w:val="nil"/>
              <w:bottom w:val="single" w:color="auto"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4" w:space="0"/>
              <w:left w:val="nil"/>
              <w:bottom w:val="single" w:color="auto"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4" w:space="0"/>
              <w:left w:val="nil"/>
              <w:bottom w:val="single" w:color="auto"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414"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vMerge w:val="continue"/>
            <w:tcBorders>
              <w:top w:val="nil"/>
              <w:left w:val="nil"/>
              <w:bottom w:val="single" w:color="auto" w:sz="4" w:space="0"/>
              <w:right w:val="single" w:color="auto" w:sz="4" w:space="0"/>
            </w:tcBorders>
            <w:shd w:val="clear" w:color="auto" w:fill="auto"/>
            <w:vAlign w:val="center"/>
          </w:tcPr>
          <w:p>
            <w:pPr>
              <w:spacing w:line="340" w:lineRule="exact"/>
              <w:rPr>
                <w:sz w:val="20"/>
                <w:szCs w:val="20"/>
              </w:rPr>
            </w:pPr>
          </w:p>
        </w:tc>
        <w:tc>
          <w:tcPr>
            <w:tcW w:w="404" w:type="dxa"/>
            <w:vMerge w:val="continue"/>
            <w:tcBorders>
              <w:top w:val="nil"/>
              <w:left w:val="nil"/>
              <w:bottom w:val="single" w:color="auto" w:sz="4" w:space="0"/>
              <w:right w:val="single" w:color="auto" w:sz="4" w:space="0"/>
            </w:tcBorders>
            <w:shd w:val="clear" w:color="auto" w:fill="auto"/>
            <w:vAlign w:val="center"/>
          </w:tcPr>
          <w:p>
            <w:pPr>
              <w:spacing w:line="340" w:lineRule="exact"/>
              <w:rPr>
                <w:sz w:val="20"/>
                <w:szCs w:val="20"/>
              </w:rPr>
            </w:pPr>
          </w:p>
        </w:tc>
        <w:tc>
          <w:tcPr>
            <w:tcW w:w="651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校级特等奖记4分、一等奖3分、二等奖2分、三等奖1分</w:t>
            </w:r>
          </w:p>
        </w:tc>
        <w:tc>
          <w:tcPr>
            <w:tcW w:w="453" w:type="dxa"/>
            <w:tcBorders>
              <w:top w:val="single" w:color="auto" w:sz="4" w:space="0"/>
              <w:left w:val="nil"/>
              <w:bottom w:val="single" w:color="auto"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不限</w:t>
            </w:r>
          </w:p>
        </w:tc>
        <w:tc>
          <w:tcPr>
            <w:tcW w:w="373" w:type="dxa"/>
            <w:tcBorders>
              <w:top w:val="single" w:color="auto" w:sz="4" w:space="0"/>
              <w:left w:val="nil"/>
              <w:bottom w:val="single" w:color="auto"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auto" w:sz="4" w:space="0"/>
              <w:left w:val="nil"/>
              <w:bottom w:val="single" w:color="auto"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auto" w:sz="4" w:space="0"/>
              <w:left w:val="nil"/>
              <w:bottom w:val="single" w:color="auto" w:sz="4" w:space="0"/>
              <w:right w:val="single" w:color="auto"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190" w:hRule="atLeast"/>
          <w:jc w:val="center"/>
        </w:trPr>
        <w:tc>
          <w:tcPr>
            <w:tcW w:w="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文艺文化体育</w:t>
            </w:r>
          </w:p>
        </w:tc>
        <w:tc>
          <w:tcPr>
            <w:tcW w:w="560" w:type="dxa"/>
            <w:vMerge w:val="restart"/>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身心素质</w:t>
            </w:r>
          </w:p>
        </w:tc>
        <w:tc>
          <w:tcPr>
            <w:tcW w:w="404" w:type="dxa"/>
            <w:vMerge w:val="restart"/>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10</w:t>
            </w:r>
          </w:p>
        </w:tc>
        <w:tc>
          <w:tcPr>
            <w:tcW w:w="6516"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积极参加体育锻炼，身体健康；能坦然面对各种压力，不怕挫折，适应能力强，心理健康</w:t>
            </w:r>
          </w:p>
        </w:tc>
        <w:tc>
          <w:tcPr>
            <w:tcW w:w="45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2</w:t>
            </w:r>
          </w:p>
        </w:tc>
        <w:tc>
          <w:tcPr>
            <w:tcW w:w="373" w:type="dxa"/>
            <w:tcBorders>
              <w:top w:val="single" w:color="auto"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auto"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auto"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565" w:hRule="atLeast"/>
          <w:jc w:val="center"/>
        </w:trPr>
        <w:tc>
          <w:tcPr>
            <w:tcW w:w="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vMerge w:val="continue"/>
            <w:tcBorders>
              <w:top w:val="single" w:color="auto" w:sz="4" w:space="0"/>
              <w:left w:val="nil"/>
              <w:bottom w:val="single" w:color="auto" w:sz="4" w:space="0"/>
              <w:right w:val="single" w:color="auto" w:sz="4" w:space="0"/>
            </w:tcBorders>
            <w:shd w:val="clear" w:color="auto" w:fill="auto"/>
            <w:vAlign w:val="center"/>
          </w:tcPr>
          <w:p>
            <w:pPr>
              <w:spacing w:line="340" w:lineRule="exact"/>
              <w:rPr>
                <w:sz w:val="20"/>
                <w:szCs w:val="20"/>
              </w:rPr>
            </w:pPr>
          </w:p>
        </w:tc>
        <w:tc>
          <w:tcPr>
            <w:tcW w:w="404" w:type="dxa"/>
            <w:vMerge w:val="continue"/>
            <w:tcBorders>
              <w:top w:val="single" w:color="auto" w:sz="4" w:space="0"/>
              <w:left w:val="nil"/>
              <w:bottom w:val="single" w:color="auto" w:sz="4" w:space="0"/>
              <w:right w:val="single" w:color="auto" w:sz="4" w:space="0"/>
            </w:tcBorders>
            <w:shd w:val="clear" w:color="auto" w:fill="auto"/>
            <w:vAlign w:val="center"/>
          </w:tcPr>
          <w:p>
            <w:pPr>
              <w:spacing w:line="340" w:lineRule="exact"/>
              <w:rPr>
                <w:sz w:val="20"/>
                <w:szCs w:val="20"/>
              </w:rPr>
            </w:pPr>
          </w:p>
        </w:tc>
        <w:tc>
          <w:tcPr>
            <w:tcW w:w="6516" w:type="dxa"/>
            <w:gridSpan w:val="2"/>
            <w:tcBorders>
              <w:top w:val="single" w:color="auto" w:sz="4" w:space="0"/>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年度参加学院通知的心理素质教育讲座或心理素质拓展等教育活动2次</w:t>
            </w:r>
          </w:p>
        </w:tc>
        <w:tc>
          <w:tcPr>
            <w:tcW w:w="453"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2</w:t>
            </w:r>
          </w:p>
        </w:tc>
        <w:tc>
          <w:tcPr>
            <w:tcW w:w="373"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90"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参与加分</w:t>
            </w:r>
          </w:p>
        </w:tc>
        <w:tc>
          <w:tcPr>
            <w:tcW w:w="404"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11</w:t>
            </w:r>
          </w:p>
        </w:tc>
        <w:tc>
          <w:tcPr>
            <w:tcW w:w="6516" w:type="dxa"/>
            <w:gridSpan w:val="2"/>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在学校、学院组织的大型文艺文化体育活动中，参加1次记0.2分，可累计加分，最高记2分</w:t>
            </w:r>
          </w:p>
        </w:tc>
        <w:tc>
          <w:tcPr>
            <w:tcW w:w="453" w:type="dxa"/>
            <w:vMerge w:val="restart"/>
            <w:tcBorders>
              <w:top w:val="single" w:color="000000" w:sz="4" w:space="0"/>
              <w:left w:val="nil"/>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sz w:val="20"/>
                <w:szCs w:val="20"/>
              </w:rPr>
              <w:t>4</w:t>
            </w:r>
          </w:p>
        </w:tc>
        <w:tc>
          <w:tcPr>
            <w:tcW w:w="373"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456"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文体竞赛</w:t>
            </w:r>
          </w:p>
        </w:tc>
        <w:tc>
          <w:tcPr>
            <w:tcW w:w="404"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12</w:t>
            </w:r>
          </w:p>
        </w:tc>
        <w:tc>
          <w:tcPr>
            <w:tcW w:w="6516" w:type="dxa"/>
            <w:gridSpan w:val="2"/>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在学校组织的文艺体育竞赛中，获第1名（冠军）记3分，第2名（亚军）记2分，第3名（季军）记1分。团体竞赛第1名，每人记3分；第2名，每人记2分；第3名，每人记1分。省级获奖，计分在校级的基础上加50%；国家级奖，计分在校级的基础上加100%（其中团队竞赛中主力和非主力参照80%和50%来测算加分）</w:t>
            </w:r>
          </w:p>
        </w:tc>
        <w:tc>
          <w:tcPr>
            <w:tcW w:w="453" w:type="dxa"/>
            <w:vMerge w:val="continue"/>
            <w:tcBorders>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p>
        </w:tc>
        <w:tc>
          <w:tcPr>
            <w:tcW w:w="373"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191" w:hRule="atLeast"/>
          <w:jc w:val="center"/>
        </w:trPr>
        <w:tc>
          <w:tcPr>
            <w:tcW w:w="341"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社会工作</w:t>
            </w:r>
          </w:p>
        </w:tc>
        <w:tc>
          <w:tcPr>
            <w:tcW w:w="560" w:type="dxa"/>
            <w:vMerge w:val="restart"/>
            <w:tcBorders>
              <w:top w:val="nil"/>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参加社会工作</w:t>
            </w:r>
          </w:p>
        </w:tc>
        <w:tc>
          <w:tcPr>
            <w:tcW w:w="404" w:type="dxa"/>
            <w:vMerge w:val="restart"/>
            <w:tcBorders>
              <w:top w:val="nil"/>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13</w:t>
            </w:r>
          </w:p>
        </w:tc>
        <w:tc>
          <w:tcPr>
            <w:tcW w:w="6516" w:type="dxa"/>
            <w:gridSpan w:val="2"/>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担任学校、学院研究生会正副主席、分团委副书记、学生党支部书记考核后最高记3分</w:t>
            </w:r>
          </w:p>
        </w:tc>
        <w:tc>
          <w:tcPr>
            <w:tcW w:w="453"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3</w:t>
            </w:r>
          </w:p>
        </w:tc>
        <w:tc>
          <w:tcPr>
            <w:tcW w:w="373"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190"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vMerge w:val="continue"/>
            <w:tcBorders>
              <w:top w:val="nil"/>
              <w:left w:val="nil"/>
              <w:bottom w:val="single" w:color="auto" w:sz="4" w:space="0"/>
              <w:right w:val="single" w:color="auto" w:sz="4" w:space="0"/>
            </w:tcBorders>
            <w:shd w:val="clear" w:color="auto" w:fill="auto"/>
            <w:vAlign w:val="center"/>
          </w:tcPr>
          <w:p>
            <w:pPr>
              <w:spacing w:line="340" w:lineRule="exact"/>
              <w:rPr>
                <w:sz w:val="20"/>
                <w:szCs w:val="20"/>
              </w:rPr>
            </w:pPr>
          </w:p>
        </w:tc>
        <w:tc>
          <w:tcPr>
            <w:tcW w:w="404" w:type="dxa"/>
            <w:vMerge w:val="continue"/>
            <w:tcBorders>
              <w:top w:val="nil"/>
              <w:left w:val="nil"/>
              <w:bottom w:val="single" w:color="auto" w:sz="4" w:space="0"/>
              <w:right w:val="single" w:color="auto" w:sz="4" w:space="0"/>
            </w:tcBorders>
            <w:shd w:val="clear" w:color="auto" w:fill="auto"/>
            <w:vAlign w:val="center"/>
          </w:tcPr>
          <w:p>
            <w:pPr>
              <w:spacing w:line="340" w:lineRule="exact"/>
              <w:rPr>
                <w:sz w:val="20"/>
                <w:szCs w:val="20"/>
              </w:rPr>
            </w:pPr>
          </w:p>
        </w:tc>
        <w:tc>
          <w:tcPr>
            <w:tcW w:w="6516" w:type="dxa"/>
            <w:gridSpan w:val="2"/>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担任学校、学院研究生会正部长和班长、团支部书记考核后最高记2.5分</w:t>
            </w:r>
          </w:p>
        </w:tc>
        <w:tc>
          <w:tcPr>
            <w:tcW w:w="453"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2.5</w:t>
            </w:r>
          </w:p>
        </w:tc>
        <w:tc>
          <w:tcPr>
            <w:tcW w:w="373"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190"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vMerge w:val="continue"/>
            <w:tcBorders>
              <w:top w:val="nil"/>
              <w:left w:val="nil"/>
              <w:bottom w:val="single" w:color="auto" w:sz="4" w:space="0"/>
              <w:right w:val="single" w:color="auto" w:sz="4" w:space="0"/>
            </w:tcBorders>
            <w:shd w:val="clear" w:color="auto" w:fill="auto"/>
            <w:vAlign w:val="center"/>
          </w:tcPr>
          <w:p>
            <w:pPr>
              <w:spacing w:line="340" w:lineRule="exact"/>
              <w:rPr>
                <w:sz w:val="20"/>
                <w:szCs w:val="20"/>
              </w:rPr>
            </w:pPr>
          </w:p>
        </w:tc>
        <w:tc>
          <w:tcPr>
            <w:tcW w:w="404" w:type="dxa"/>
            <w:vMerge w:val="continue"/>
            <w:tcBorders>
              <w:top w:val="nil"/>
              <w:left w:val="nil"/>
              <w:bottom w:val="single" w:color="auto" w:sz="4" w:space="0"/>
              <w:right w:val="single" w:color="auto" w:sz="4" w:space="0"/>
            </w:tcBorders>
            <w:shd w:val="clear" w:color="auto" w:fill="auto"/>
            <w:vAlign w:val="center"/>
          </w:tcPr>
          <w:p>
            <w:pPr>
              <w:spacing w:line="340" w:lineRule="exact"/>
              <w:rPr>
                <w:sz w:val="20"/>
                <w:szCs w:val="20"/>
              </w:rPr>
            </w:pPr>
          </w:p>
        </w:tc>
        <w:tc>
          <w:tcPr>
            <w:tcW w:w="6516" w:type="dxa"/>
            <w:gridSpan w:val="2"/>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kern w:val="0"/>
                <w:sz w:val="20"/>
                <w:szCs w:val="20"/>
              </w:rPr>
            </w:pPr>
            <w:r>
              <w:rPr>
                <w:rFonts w:hint="eastAsia" w:ascii="宋体" w:hAnsi="宋体" w:cs="宋体"/>
                <w:kern w:val="0"/>
                <w:sz w:val="20"/>
                <w:szCs w:val="20"/>
              </w:rPr>
              <w:t>担任副班长、其他研究生社团负责人、副部长考核后最高记2分</w:t>
            </w:r>
          </w:p>
        </w:tc>
        <w:tc>
          <w:tcPr>
            <w:tcW w:w="453"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kern w:val="0"/>
                <w:sz w:val="20"/>
                <w:szCs w:val="20"/>
              </w:rPr>
            </w:pPr>
            <w:r>
              <w:rPr>
                <w:rFonts w:hint="eastAsia" w:ascii="宋体" w:hAnsi="宋体" w:cs="宋体"/>
                <w:kern w:val="0"/>
                <w:sz w:val="20"/>
                <w:szCs w:val="20"/>
              </w:rPr>
              <w:t>2</w:t>
            </w:r>
          </w:p>
        </w:tc>
        <w:tc>
          <w:tcPr>
            <w:tcW w:w="373"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157"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vMerge w:val="continue"/>
            <w:tcBorders>
              <w:top w:val="nil"/>
              <w:left w:val="nil"/>
              <w:bottom w:val="single" w:color="auto" w:sz="4" w:space="0"/>
              <w:right w:val="single" w:color="auto" w:sz="4" w:space="0"/>
            </w:tcBorders>
            <w:shd w:val="clear" w:color="auto" w:fill="auto"/>
            <w:vAlign w:val="center"/>
          </w:tcPr>
          <w:p>
            <w:pPr>
              <w:spacing w:line="340" w:lineRule="exact"/>
              <w:rPr>
                <w:sz w:val="20"/>
                <w:szCs w:val="20"/>
              </w:rPr>
            </w:pPr>
          </w:p>
        </w:tc>
        <w:tc>
          <w:tcPr>
            <w:tcW w:w="404" w:type="dxa"/>
            <w:vMerge w:val="continue"/>
            <w:tcBorders>
              <w:top w:val="nil"/>
              <w:left w:val="nil"/>
              <w:bottom w:val="single" w:color="auto" w:sz="4" w:space="0"/>
              <w:right w:val="single" w:color="auto" w:sz="4" w:space="0"/>
            </w:tcBorders>
            <w:shd w:val="clear" w:color="auto" w:fill="auto"/>
            <w:vAlign w:val="center"/>
          </w:tcPr>
          <w:p>
            <w:pPr>
              <w:spacing w:line="340" w:lineRule="exact"/>
              <w:rPr>
                <w:sz w:val="20"/>
                <w:szCs w:val="20"/>
              </w:rPr>
            </w:pPr>
          </w:p>
        </w:tc>
        <w:tc>
          <w:tcPr>
            <w:tcW w:w="6516" w:type="dxa"/>
            <w:gridSpan w:val="2"/>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担任校、院研究生会成员、班委会成员、党、团支部委员考核后最高记1.5分</w:t>
            </w:r>
          </w:p>
        </w:tc>
        <w:tc>
          <w:tcPr>
            <w:tcW w:w="453"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1.5</w:t>
            </w:r>
          </w:p>
        </w:tc>
        <w:tc>
          <w:tcPr>
            <w:tcW w:w="373"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217" w:hRule="atLeast"/>
          <w:jc w:val="center"/>
        </w:trPr>
        <w:tc>
          <w:tcPr>
            <w:tcW w:w="341" w:type="dxa"/>
            <w:vMerge w:val="continue"/>
            <w:tcBorders>
              <w:top w:val="nil"/>
              <w:left w:val="single" w:color="auto" w:sz="4" w:space="0"/>
              <w:bottom w:val="single" w:color="auto" w:sz="4" w:space="0"/>
              <w:right w:val="single" w:color="auto" w:sz="4" w:space="0"/>
            </w:tcBorders>
            <w:shd w:val="clear" w:color="auto" w:fill="auto"/>
            <w:vAlign w:val="center"/>
          </w:tcPr>
          <w:p>
            <w:pPr>
              <w:spacing w:line="340" w:lineRule="exact"/>
              <w:rPr>
                <w:sz w:val="20"/>
                <w:szCs w:val="20"/>
              </w:rPr>
            </w:pPr>
          </w:p>
        </w:tc>
        <w:tc>
          <w:tcPr>
            <w:tcW w:w="560" w:type="dxa"/>
            <w:vMerge w:val="continue"/>
            <w:tcBorders>
              <w:top w:val="nil"/>
              <w:left w:val="nil"/>
              <w:bottom w:val="single" w:color="auto" w:sz="4" w:space="0"/>
              <w:right w:val="single" w:color="auto" w:sz="4" w:space="0"/>
            </w:tcBorders>
            <w:shd w:val="clear" w:color="auto" w:fill="auto"/>
            <w:vAlign w:val="center"/>
          </w:tcPr>
          <w:p>
            <w:pPr>
              <w:spacing w:line="340" w:lineRule="exact"/>
              <w:rPr>
                <w:sz w:val="20"/>
                <w:szCs w:val="20"/>
              </w:rPr>
            </w:pPr>
          </w:p>
        </w:tc>
        <w:tc>
          <w:tcPr>
            <w:tcW w:w="404"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14</w:t>
            </w:r>
          </w:p>
        </w:tc>
        <w:tc>
          <w:tcPr>
            <w:tcW w:w="6516" w:type="dxa"/>
            <w:gridSpan w:val="2"/>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获得国家表彰加20分；获得省市级表彰加10分；获得校级表彰加4分；获得学院表彰加2分</w:t>
            </w:r>
          </w:p>
        </w:tc>
        <w:tc>
          <w:tcPr>
            <w:tcW w:w="453"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20</w:t>
            </w:r>
          </w:p>
        </w:tc>
        <w:tc>
          <w:tcPr>
            <w:tcW w:w="373"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452" w:hRule="atLeast"/>
          <w:jc w:val="center"/>
        </w:trPr>
        <w:tc>
          <w:tcPr>
            <w:tcW w:w="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其他</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境外学习</w:t>
            </w:r>
          </w:p>
        </w:tc>
        <w:tc>
          <w:tcPr>
            <w:tcW w:w="404"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15</w:t>
            </w:r>
          </w:p>
        </w:tc>
        <w:tc>
          <w:tcPr>
            <w:tcW w:w="6516" w:type="dxa"/>
            <w:gridSpan w:val="2"/>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经校研究生院批准，赴境外学习交流计4分</w:t>
            </w:r>
          </w:p>
        </w:tc>
        <w:tc>
          <w:tcPr>
            <w:tcW w:w="453"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4</w:t>
            </w:r>
          </w:p>
        </w:tc>
        <w:tc>
          <w:tcPr>
            <w:tcW w:w="373"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101" w:hRule="atLeast"/>
          <w:jc w:val="center"/>
        </w:trPr>
        <w:tc>
          <w:tcPr>
            <w:tcW w:w="8274" w:type="dxa"/>
            <w:gridSpan w:val="6"/>
            <w:tcBorders>
              <w:top w:val="single" w:color="000000" w:sz="4" w:space="0"/>
              <w:left w:val="single" w:color="000000" w:sz="12" w:space="0"/>
              <w:bottom w:val="single" w:color="000000" w:sz="4" w:space="0"/>
              <w:right w:val="single" w:color="000000" w:sz="4" w:space="0"/>
            </w:tcBorders>
            <w:shd w:val="clear" w:color="auto" w:fill="auto"/>
            <w:vAlign w:val="bottom"/>
          </w:tcPr>
          <w:p>
            <w:pPr>
              <w:widowControl/>
              <w:autoSpaceDE w:val="0"/>
              <w:spacing w:line="340" w:lineRule="exact"/>
              <w:jc w:val="left"/>
              <w:textAlignment w:val="bottom"/>
              <w:rPr>
                <w:rFonts w:ascii="宋体" w:hAnsi="宋体" w:cs="宋体"/>
                <w:sz w:val="20"/>
                <w:szCs w:val="20"/>
              </w:rPr>
            </w:pPr>
            <w:r>
              <w:rPr>
                <w:rFonts w:hint="eastAsia" w:ascii="宋体" w:hAnsi="宋体" w:cs="宋体"/>
                <w:kern w:val="0"/>
                <w:sz w:val="20"/>
                <w:szCs w:val="20"/>
              </w:rPr>
              <w:t xml:space="preserve">          合计总分</w:t>
            </w:r>
          </w:p>
        </w:tc>
        <w:tc>
          <w:tcPr>
            <w:tcW w:w="373"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101" w:hRule="atLeast"/>
          <w:jc w:val="center"/>
        </w:trPr>
        <w:tc>
          <w:tcPr>
            <w:tcW w:w="4569" w:type="dxa"/>
            <w:gridSpan w:val="4"/>
            <w:tcBorders>
              <w:top w:val="single" w:color="000000" w:sz="4" w:space="0"/>
              <w:left w:val="single" w:color="000000" w:sz="12" w:space="0"/>
              <w:bottom w:val="single" w:color="000000" w:sz="4" w:space="0"/>
              <w:right w:val="single" w:color="000000" w:sz="4" w:space="0"/>
            </w:tcBorders>
            <w:shd w:val="clear" w:color="auto" w:fill="auto"/>
            <w:vAlign w:val="bottom"/>
          </w:tcPr>
          <w:p>
            <w:pPr>
              <w:widowControl/>
              <w:autoSpaceDE w:val="0"/>
              <w:spacing w:line="340" w:lineRule="exact"/>
              <w:jc w:val="left"/>
              <w:textAlignment w:val="bottom"/>
              <w:rPr>
                <w:rFonts w:ascii="宋体" w:hAnsi="宋体" w:cs="宋体"/>
                <w:sz w:val="20"/>
                <w:szCs w:val="20"/>
              </w:rPr>
            </w:pPr>
            <w:r>
              <w:rPr>
                <w:rFonts w:hint="eastAsia" w:ascii="宋体" w:hAnsi="宋体" w:cs="宋体"/>
                <w:kern w:val="0"/>
                <w:sz w:val="20"/>
                <w:szCs w:val="20"/>
              </w:rPr>
              <w:t xml:space="preserve">          测评总分</w:t>
            </w:r>
          </w:p>
        </w:tc>
        <w:tc>
          <w:tcPr>
            <w:tcW w:w="5009" w:type="dxa"/>
            <w:gridSpan w:val="5"/>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849" w:hRule="atLeast"/>
          <w:jc w:val="center"/>
        </w:trPr>
        <w:tc>
          <w:tcPr>
            <w:tcW w:w="9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专业总人数</w:t>
            </w:r>
          </w:p>
        </w:tc>
        <w:tc>
          <w:tcPr>
            <w:tcW w:w="404" w:type="dxa"/>
            <w:tcBorders>
              <w:top w:val="single" w:color="000000" w:sz="4" w:space="0"/>
              <w:left w:val="nil"/>
              <w:bottom w:val="single" w:color="000000" w:sz="4" w:space="0"/>
              <w:right w:val="single" w:color="000000" w:sz="4" w:space="0"/>
            </w:tcBorders>
            <w:shd w:val="clear" w:color="auto" w:fill="auto"/>
            <w:vAlign w:val="center"/>
          </w:tcPr>
          <w:p>
            <w:pPr>
              <w:autoSpaceDE w:val="0"/>
              <w:spacing w:line="340" w:lineRule="exact"/>
              <w:jc w:val="center"/>
              <w:rPr>
                <w:rFonts w:ascii="宋体" w:hAnsi="宋体" w:cs="宋体"/>
                <w:sz w:val="20"/>
                <w:szCs w:val="20"/>
              </w:rPr>
            </w:pPr>
          </w:p>
        </w:tc>
        <w:tc>
          <w:tcPr>
            <w:tcW w:w="3264"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 xml:space="preserve">             专业名次</w:t>
            </w:r>
          </w:p>
        </w:tc>
        <w:tc>
          <w:tcPr>
            <w:tcW w:w="3252" w:type="dxa"/>
            <w:tcBorders>
              <w:top w:val="single" w:color="000000" w:sz="4" w:space="0"/>
              <w:left w:val="nil"/>
              <w:bottom w:val="single" w:color="000000" w:sz="4" w:space="0"/>
              <w:right w:val="single" w:color="000000" w:sz="4" w:space="0"/>
            </w:tcBorders>
            <w:shd w:val="clear" w:color="auto" w:fill="auto"/>
            <w:vAlign w:val="center"/>
          </w:tcPr>
          <w:p>
            <w:pPr>
              <w:autoSpaceDE w:val="0"/>
              <w:spacing w:line="340" w:lineRule="exact"/>
              <w:jc w:val="left"/>
              <w:rPr>
                <w:rFonts w:ascii="宋体" w:hAnsi="宋体" w:cs="宋体"/>
                <w:sz w:val="20"/>
                <w:szCs w:val="20"/>
              </w:rPr>
            </w:pPr>
          </w:p>
        </w:tc>
        <w:tc>
          <w:tcPr>
            <w:tcW w:w="453"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年级   总人数</w:t>
            </w:r>
          </w:p>
        </w:tc>
        <w:tc>
          <w:tcPr>
            <w:tcW w:w="373" w:type="dxa"/>
            <w:tcBorders>
              <w:top w:val="single" w:color="000000" w:sz="4" w:space="0"/>
              <w:left w:val="nil"/>
              <w:bottom w:val="single" w:color="000000" w:sz="4" w:space="0"/>
              <w:right w:val="single" w:color="000000" w:sz="4" w:space="0"/>
            </w:tcBorders>
            <w:shd w:val="clear" w:color="auto" w:fill="auto"/>
            <w:vAlign w:val="center"/>
          </w:tcPr>
          <w:p>
            <w:pPr>
              <w:autoSpaceDE w:val="0"/>
              <w:spacing w:line="340" w:lineRule="exact"/>
              <w:jc w:val="center"/>
              <w:rPr>
                <w:rFonts w:ascii="宋体" w:hAnsi="宋体" w:cs="宋体"/>
                <w:sz w:val="20"/>
                <w:szCs w:val="20"/>
              </w:rPr>
            </w:pPr>
          </w:p>
        </w:tc>
        <w:tc>
          <w:tcPr>
            <w:tcW w:w="431"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340" w:lineRule="exact"/>
              <w:jc w:val="center"/>
              <w:textAlignment w:val="center"/>
              <w:rPr>
                <w:rFonts w:ascii="宋体" w:hAnsi="宋体" w:cs="宋体"/>
                <w:sz w:val="20"/>
                <w:szCs w:val="20"/>
              </w:rPr>
            </w:pPr>
            <w:r>
              <w:rPr>
                <w:rFonts w:hint="eastAsia" w:ascii="宋体" w:hAnsi="宋体" w:cs="宋体"/>
                <w:kern w:val="0"/>
                <w:sz w:val="20"/>
                <w:szCs w:val="20"/>
              </w:rPr>
              <w:t>年级名次</w:t>
            </w:r>
          </w:p>
        </w:tc>
        <w:tc>
          <w:tcPr>
            <w:tcW w:w="500" w:type="dxa"/>
            <w:tcBorders>
              <w:top w:val="single" w:color="000000" w:sz="4" w:space="0"/>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153" w:hRule="atLeast"/>
          <w:jc w:val="center"/>
        </w:trPr>
        <w:tc>
          <w:tcPr>
            <w:tcW w:w="1305" w:type="dxa"/>
            <w:gridSpan w:val="3"/>
            <w:tcBorders>
              <w:top w:val="single" w:color="000000" w:sz="4" w:space="0"/>
              <w:left w:val="single" w:color="000000" w:sz="12" w:space="0"/>
              <w:bottom w:val="nil"/>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 xml:space="preserve">自评人签名：                  </w:t>
            </w:r>
          </w:p>
        </w:tc>
        <w:tc>
          <w:tcPr>
            <w:tcW w:w="6516" w:type="dxa"/>
            <w:gridSpan w:val="2"/>
            <w:tcBorders>
              <w:top w:val="single" w:color="000000" w:sz="4" w:space="0"/>
              <w:left w:val="nil"/>
              <w:bottom w:val="nil"/>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 xml:space="preserve">互评人签名：                                    </w:t>
            </w:r>
          </w:p>
        </w:tc>
        <w:tc>
          <w:tcPr>
            <w:tcW w:w="1757" w:type="dxa"/>
            <w:gridSpan w:val="4"/>
            <w:tcBorders>
              <w:top w:val="single" w:color="000000" w:sz="4" w:space="0"/>
              <w:left w:val="nil"/>
              <w:bottom w:val="nil"/>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辅导员签名：</w:t>
            </w:r>
          </w:p>
        </w:tc>
      </w:tr>
      <w:tr>
        <w:tblPrEx>
          <w:tblCellMar>
            <w:top w:w="15" w:type="dxa"/>
            <w:left w:w="15" w:type="dxa"/>
            <w:bottom w:w="15" w:type="dxa"/>
            <w:right w:w="15" w:type="dxa"/>
          </w:tblCellMar>
        </w:tblPrEx>
        <w:trPr>
          <w:trHeight w:val="98" w:hRule="atLeast"/>
          <w:jc w:val="center"/>
        </w:trPr>
        <w:tc>
          <w:tcPr>
            <w:tcW w:w="1305" w:type="dxa"/>
            <w:gridSpan w:val="3"/>
            <w:tcBorders>
              <w:top w:val="nil"/>
              <w:left w:val="single" w:color="000000" w:sz="12" w:space="0"/>
              <w:bottom w:val="single" w:color="000000" w:sz="4" w:space="0"/>
              <w:right w:val="single" w:color="000000" w:sz="4" w:space="0"/>
            </w:tcBorders>
            <w:shd w:val="clear" w:color="auto" w:fill="auto"/>
            <w:vAlign w:val="bottom"/>
          </w:tcPr>
          <w:p>
            <w:pPr>
              <w:widowControl/>
              <w:autoSpaceDE w:val="0"/>
              <w:spacing w:line="340" w:lineRule="exact"/>
              <w:jc w:val="left"/>
              <w:textAlignment w:val="bottom"/>
              <w:rPr>
                <w:rFonts w:ascii="宋体" w:hAnsi="宋体" w:cs="宋体"/>
                <w:sz w:val="20"/>
                <w:szCs w:val="20"/>
              </w:rPr>
            </w:pPr>
            <w:r>
              <w:rPr>
                <w:rFonts w:hint="eastAsia" w:ascii="宋体" w:hAnsi="宋体" w:cs="宋体"/>
                <w:kern w:val="0"/>
                <w:sz w:val="20"/>
                <w:szCs w:val="20"/>
              </w:rPr>
              <w:t xml:space="preserve">    日期：</w:t>
            </w:r>
          </w:p>
        </w:tc>
        <w:tc>
          <w:tcPr>
            <w:tcW w:w="6516" w:type="dxa"/>
            <w:gridSpan w:val="2"/>
            <w:tcBorders>
              <w:top w:val="nil"/>
              <w:left w:val="nil"/>
              <w:bottom w:val="single" w:color="000000" w:sz="4" w:space="0"/>
              <w:right w:val="single" w:color="000000" w:sz="4" w:space="0"/>
            </w:tcBorders>
            <w:shd w:val="clear" w:color="auto" w:fill="auto"/>
            <w:vAlign w:val="bottom"/>
          </w:tcPr>
          <w:p>
            <w:pPr>
              <w:widowControl/>
              <w:autoSpaceDE w:val="0"/>
              <w:spacing w:line="340" w:lineRule="exact"/>
              <w:jc w:val="left"/>
              <w:textAlignment w:val="bottom"/>
              <w:rPr>
                <w:rFonts w:ascii="宋体" w:hAnsi="宋体" w:cs="宋体"/>
                <w:sz w:val="20"/>
                <w:szCs w:val="20"/>
              </w:rPr>
            </w:pPr>
            <w:r>
              <w:rPr>
                <w:rFonts w:hint="eastAsia" w:ascii="宋体" w:hAnsi="宋体" w:cs="宋体"/>
                <w:kern w:val="0"/>
                <w:sz w:val="20"/>
                <w:szCs w:val="20"/>
              </w:rPr>
              <w:t xml:space="preserve">                   日期：</w:t>
            </w:r>
          </w:p>
        </w:tc>
        <w:tc>
          <w:tcPr>
            <w:tcW w:w="1257" w:type="dxa"/>
            <w:gridSpan w:val="3"/>
            <w:tcBorders>
              <w:top w:val="nil"/>
              <w:left w:val="nil"/>
              <w:bottom w:val="single" w:color="000000" w:sz="4" w:space="0"/>
              <w:right w:val="nil"/>
            </w:tcBorders>
            <w:shd w:val="clear" w:color="auto" w:fill="auto"/>
            <w:vAlign w:val="bottom"/>
          </w:tcPr>
          <w:p>
            <w:pPr>
              <w:widowControl/>
              <w:autoSpaceDE w:val="0"/>
              <w:spacing w:line="340" w:lineRule="exact"/>
              <w:jc w:val="left"/>
              <w:textAlignment w:val="bottom"/>
              <w:rPr>
                <w:rFonts w:ascii="宋体" w:hAnsi="宋体" w:cs="宋体"/>
                <w:sz w:val="20"/>
                <w:szCs w:val="20"/>
              </w:rPr>
            </w:pPr>
            <w:r>
              <w:rPr>
                <w:rFonts w:hint="eastAsia" w:ascii="宋体" w:hAnsi="宋体" w:cs="宋体"/>
                <w:kern w:val="0"/>
                <w:sz w:val="20"/>
                <w:szCs w:val="20"/>
              </w:rPr>
              <w:t xml:space="preserve">       日期：</w:t>
            </w:r>
          </w:p>
        </w:tc>
        <w:tc>
          <w:tcPr>
            <w:tcW w:w="500" w:type="dxa"/>
            <w:tcBorders>
              <w:top w:val="nil"/>
              <w:left w:val="nil"/>
              <w:bottom w:val="single" w:color="000000" w:sz="4" w:space="0"/>
              <w:right w:val="single" w:color="000000" w:sz="4" w:space="0"/>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170" w:hRule="atLeast"/>
          <w:jc w:val="center"/>
        </w:trPr>
        <w:tc>
          <w:tcPr>
            <w:tcW w:w="9578" w:type="dxa"/>
            <w:gridSpan w:val="9"/>
            <w:tcBorders>
              <w:top w:val="single" w:color="000000" w:sz="4" w:space="0"/>
              <w:left w:val="single" w:color="000000" w:sz="12" w:space="0"/>
              <w:bottom w:val="nil"/>
              <w:right w:val="single" w:color="000000" w:sz="4" w:space="0"/>
            </w:tcBorders>
            <w:shd w:val="clear" w:color="auto" w:fill="auto"/>
            <w:vAlign w:val="center"/>
          </w:tcPr>
          <w:p>
            <w:pPr>
              <w:widowControl/>
              <w:autoSpaceDE w:val="0"/>
              <w:spacing w:line="340" w:lineRule="exact"/>
              <w:jc w:val="left"/>
              <w:textAlignment w:val="center"/>
              <w:rPr>
                <w:rFonts w:ascii="宋体" w:hAnsi="宋体" w:cs="宋体"/>
                <w:sz w:val="20"/>
                <w:szCs w:val="20"/>
              </w:rPr>
            </w:pPr>
            <w:r>
              <w:rPr>
                <w:rFonts w:hint="eastAsia" w:ascii="宋体" w:hAnsi="宋体" w:cs="宋体"/>
                <w:kern w:val="0"/>
                <w:sz w:val="20"/>
                <w:szCs w:val="20"/>
              </w:rPr>
              <w:t>学院审核意见：</w:t>
            </w:r>
          </w:p>
        </w:tc>
      </w:tr>
      <w:tr>
        <w:tblPrEx>
          <w:tblCellMar>
            <w:top w:w="15" w:type="dxa"/>
            <w:left w:w="15" w:type="dxa"/>
            <w:bottom w:w="15" w:type="dxa"/>
            <w:right w:w="15" w:type="dxa"/>
          </w:tblCellMar>
        </w:tblPrEx>
        <w:trPr>
          <w:trHeight w:val="98" w:hRule="atLeast"/>
          <w:jc w:val="center"/>
        </w:trPr>
        <w:tc>
          <w:tcPr>
            <w:tcW w:w="9578" w:type="dxa"/>
            <w:gridSpan w:val="9"/>
            <w:tcBorders>
              <w:top w:val="nil"/>
              <w:left w:val="single" w:color="000000" w:sz="12" w:space="0"/>
              <w:bottom w:val="nil"/>
              <w:right w:val="single" w:color="000000" w:sz="4" w:space="0"/>
            </w:tcBorders>
            <w:shd w:val="clear" w:color="auto" w:fill="auto"/>
            <w:vAlign w:val="bottom"/>
          </w:tcPr>
          <w:p>
            <w:pPr>
              <w:widowControl/>
              <w:autoSpaceDE w:val="0"/>
              <w:spacing w:line="340" w:lineRule="exact"/>
              <w:jc w:val="left"/>
              <w:textAlignment w:val="bottom"/>
              <w:rPr>
                <w:rFonts w:ascii="宋体" w:hAnsi="宋体" w:cs="宋体"/>
                <w:sz w:val="20"/>
                <w:szCs w:val="20"/>
              </w:rPr>
            </w:pPr>
            <w:r>
              <w:rPr>
                <w:rFonts w:hint="eastAsia" w:ascii="宋体" w:hAnsi="宋体" w:cs="宋体"/>
                <w:kern w:val="0"/>
                <w:sz w:val="20"/>
                <w:szCs w:val="20"/>
              </w:rPr>
              <w:t xml:space="preserve">                                                       负责人签名：</w:t>
            </w:r>
          </w:p>
        </w:tc>
      </w:tr>
      <w:tr>
        <w:tblPrEx>
          <w:tblCellMar>
            <w:top w:w="15" w:type="dxa"/>
            <w:left w:w="15" w:type="dxa"/>
            <w:bottom w:w="15" w:type="dxa"/>
            <w:right w:w="15" w:type="dxa"/>
          </w:tblCellMar>
        </w:tblPrEx>
        <w:trPr>
          <w:trHeight w:val="98" w:hRule="atLeast"/>
          <w:jc w:val="center"/>
        </w:trPr>
        <w:tc>
          <w:tcPr>
            <w:tcW w:w="9578" w:type="dxa"/>
            <w:gridSpan w:val="9"/>
            <w:tcBorders>
              <w:top w:val="nil"/>
              <w:left w:val="single" w:color="000000" w:sz="12" w:space="0"/>
              <w:bottom w:val="single" w:color="000000" w:sz="12" w:space="0"/>
              <w:right w:val="single" w:color="000000" w:sz="4" w:space="0"/>
            </w:tcBorders>
            <w:shd w:val="clear" w:color="auto" w:fill="auto"/>
            <w:vAlign w:val="bottom"/>
          </w:tcPr>
          <w:p>
            <w:pPr>
              <w:widowControl/>
              <w:autoSpaceDE w:val="0"/>
              <w:spacing w:line="340" w:lineRule="exact"/>
              <w:jc w:val="left"/>
              <w:textAlignment w:val="bottom"/>
              <w:rPr>
                <w:rFonts w:ascii="宋体" w:hAnsi="宋体" w:cs="宋体"/>
                <w:sz w:val="20"/>
                <w:szCs w:val="20"/>
              </w:rPr>
            </w:pPr>
            <w:r>
              <w:rPr>
                <w:rFonts w:hint="eastAsia" w:ascii="宋体" w:hAnsi="宋体" w:cs="宋体"/>
                <w:kern w:val="0"/>
                <w:sz w:val="20"/>
                <w:szCs w:val="20"/>
              </w:rPr>
              <w:t xml:space="preserve">                                                             日期：</w:t>
            </w:r>
          </w:p>
        </w:tc>
      </w:tr>
      <w:tr>
        <w:tblPrEx>
          <w:tblCellMar>
            <w:top w:w="15" w:type="dxa"/>
            <w:left w:w="15" w:type="dxa"/>
            <w:bottom w:w="15" w:type="dxa"/>
            <w:right w:w="15" w:type="dxa"/>
          </w:tblCellMar>
        </w:tblPrEx>
        <w:trPr>
          <w:trHeight w:val="106" w:hRule="atLeast"/>
          <w:jc w:val="center"/>
        </w:trPr>
        <w:tc>
          <w:tcPr>
            <w:tcW w:w="341" w:type="dxa"/>
            <w:tcBorders>
              <w:top w:val="single" w:color="000000" w:sz="12" w:space="0"/>
              <w:left w:val="nil"/>
              <w:bottom w:val="nil"/>
              <w:right w:val="nil"/>
            </w:tcBorders>
            <w:shd w:val="clear" w:color="auto" w:fill="auto"/>
            <w:vAlign w:val="bottom"/>
          </w:tcPr>
          <w:p>
            <w:pPr>
              <w:autoSpaceDE w:val="0"/>
              <w:spacing w:line="340" w:lineRule="exact"/>
              <w:rPr>
                <w:rFonts w:ascii="宋体" w:hAnsi="宋体" w:cs="宋体"/>
                <w:sz w:val="20"/>
                <w:szCs w:val="20"/>
              </w:rPr>
            </w:pPr>
          </w:p>
        </w:tc>
        <w:tc>
          <w:tcPr>
            <w:tcW w:w="560" w:type="dxa"/>
            <w:tcBorders>
              <w:top w:val="single" w:color="000000" w:sz="12" w:space="0"/>
              <w:left w:val="nil"/>
              <w:bottom w:val="nil"/>
              <w:right w:val="nil"/>
            </w:tcBorders>
            <w:shd w:val="clear" w:color="auto" w:fill="auto"/>
            <w:vAlign w:val="bottom"/>
          </w:tcPr>
          <w:p>
            <w:pPr>
              <w:autoSpaceDE w:val="0"/>
              <w:spacing w:line="340" w:lineRule="exact"/>
              <w:rPr>
                <w:rFonts w:ascii="宋体" w:hAnsi="宋体" w:cs="宋体"/>
                <w:sz w:val="20"/>
                <w:szCs w:val="20"/>
              </w:rPr>
            </w:pPr>
          </w:p>
        </w:tc>
        <w:tc>
          <w:tcPr>
            <w:tcW w:w="404" w:type="dxa"/>
            <w:tcBorders>
              <w:top w:val="single" w:color="000000" w:sz="12" w:space="0"/>
              <w:left w:val="nil"/>
              <w:bottom w:val="nil"/>
              <w:right w:val="nil"/>
            </w:tcBorders>
            <w:shd w:val="clear" w:color="auto" w:fill="auto"/>
            <w:vAlign w:val="bottom"/>
          </w:tcPr>
          <w:p>
            <w:pPr>
              <w:autoSpaceDE w:val="0"/>
              <w:spacing w:line="340" w:lineRule="exact"/>
              <w:rPr>
                <w:rFonts w:ascii="宋体" w:hAnsi="宋体" w:cs="宋体"/>
                <w:sz w:val="20"/>
                <w:szCs w:val="20"/>
              </w:rPr>
            </w:pPr>
          </w:p>
        </w:tc>
        <w:tc>
          <w:tcPr>
            <w:tcW w:w="3264" w:type="dxa"/>
            <w:tcBorders>
              <w:top w:val="single" w:color="000000" w:sz="12" w:space="0"/>
              <w:left w:val="nil"/>
              <w:bottom w:val="nil"/>
              <w:right w:val="nil"/>
            </w:tcBorders>
            <w:shd w:val="clear" w:color="auto" w:fill="auto"/>
            <w:vAlign w:val="bottom"/>
          </w:tcPr>
          <w:p>
            <w:pPr>
              <w:autoSpaceDE w:val="0"/>
              <w:spacing w:line="340" w:lineRule="exact"/>
              <w:rPr>
                <w:rFonts w:ascii="宋体" w:hAnsi="宋体" w:cs="宋体"/>
                <w:sz w:val="20"/>
                <w:szCs w:val="20"/>
              </w:rPr>
            </w:pPr>
          </w:p>
        </w:tc>
        <w:tc>
          <w:tcPr>
            <w:tcW w:w="3252" w:type="dxa"/>
            <w:tcBorders>
              <w:top w:val="single" w:color="000000" w:sz="12" w:space="0"/>
              <w:left w:val="nil"/>
              <w:bottom w:val="nil"/>
              <w:right w:val="nil"/>
            </w:tcBorders>
            <w:shd w:val="clear" w:color="auto" w:fill="auto"/>
            <w:vAlign w:val="bottom"/>
          </w:tcPr>
          <w:p>
            <w:pPr>
              <w:autoSpaceDE w:val="0"/>
              <w:spacing w:line="340" w:lineRule="exact"/>
              <w:rPr>
                <w:rFonts w:ascii="宋体" w:hAnsi="宋体" w:cs="宋体"/>
                <w:sz w:val="20"/>
                <w:szCs w:val="20"/>
              </w:rPr>
            </w:pPr>
          </w:p>
        </w:tc>
        <w:tc>
          <w:tcPr>
            <w:tcW w:w="453" w:type="dxa"/>
            <w:tcBorders>
              <w:top w:val="single" w:color="000000" w:sz="12" w:space="0"/>
              <w:left w:val="nil"/>
              <w:bottom w:val="nil"/>
              <w:right w:val="nil"/>
            </w:tcBorders>
            <w:shd w:val="clear" w:color="auto" w:fill="auto"/>
            <w:vAlign w:val="bottom"/>
          </w:tcPr>
          <w:p>
            <w:pPr>
              <w:autoSpaceDE w:val="0"/>
              <w:spacing w:line="340" w:lineRule="exact"/>
              <w:rPr>
                <w:rFonts w:ascii="宋体" w:hAnsi="宋体" w:cs="宋体"/>
                <w:sz w:val="20"/>
                <w:szCs w:val="20"/>
              </w:rPr>
            </w:pPr>
          </w:p>
        </w:tc>
        <w:tc>
          <w:tcPr>
            <w:tcW w:w="373" w:type="dxa"/>
            <w:tcBorders>
              <w:top w:val="single" w:color="000000" w:sz="12" w:space="0"/>
              <w:left w:val="nil"/>
              <w:bottom w:val="nil"/>
              <w:right w:val="nil"/>
            </w:tcBorders>
            <w:shd w:val="clear" w:color="auto" w:fill="auto"/>
            <w:vAlign w:val="bottom"/>
          </w:tcPr>
          <w:p>
            <w:pPr>
              <w:autoSpaceDE w:val="0"/>
              <w:spacing w:line="340" w:lineRule="exact"/>
              <w:rPr>
                <w:rFonts w:ascii="宋体" w:hAnsi="宋体" w:cs="宋体"/>
                <w:sz w:val="20"/>
                <w:szCs w:val="20"/>
              </w:rPr>
            </w:pPr>
          </w:p>
        </w:tc>
        <w:tc>
          <w:tcPr>
            <w:tcW w:w="431" w:type="dxa"/>
            <w:tcBorders>
              <w:top w:val="single" w:color="000000" w:sz="12" w:space="0"/>
              <w:left w:val="nil"/>
              <w:bottom w:val="nil"/>
              <w:right w:val="nil"/>
            </w:tcBorders>
            <w:shd w:val="clear" w:color="auto" w:fill="auto"/>
            <w:vAlign w:val="bottom"/>
          </w:tcPr>
          <w:p>
            <w:pPr>
              <w:autoSpaceDE w:val="0"/>
              <w:spacing w:line="340" w:lineRule="exact"/>
              <w:rPr>
                <w:rFonts w:ascii="宋体" w:hAnsi="宋体" w:cs="宋体"/>
                <w:sz w:val="20"/>
                <w:szCs w:val="20"/>
              </w:rPr>
            </w:pPr>
          </w:p>
        </w:tc>
        <w:tc>
          <w:tcPr>
            <w:tcW w:w="500" w:type="dxa"/>
            <w:tcBorders>
              <w:top w:val="single" w:color="000000" w:sz="12" w:space="0"/>
              <w:left w:val="nil"/>
              <w:bottom w:val="nil"/>
              <w:right w:val="nil"/>
            </w:tcBorders>
            <w:shd w:val="clear" w:color="auto" w:fill="auto"/>
            <w:vAlign w:val="bottom"/>
          </w:tcPr>
          <w:p>
            <w:pPr>
              <w:autoSpaceDE w:val="0"/>
              <w:spacing w:line="340" w:lineRule="exact"/>
              <w:rPr>
                <w:rFonts w:ascii="宋体" w:hAnsi="宋体" w:cs="宋体"/>
                <w:sz w:val="20"/>
                <w:szCs w:val="20"/>
              </w:rPr>
            </w:pPr>
          </w:p>
        </w:tc>
      </w:tr>
      <w:tr>
        <w:tblPrEx>
          <w:tblCellMar>
            <w:top w:w="15" w:type="dxa"/>
            <w:left w:w="15" w:type="dxa"/>
            <w:bottom w:w="15" w:type="dxa"/>
            <w:right w:w="15" w:type="dxa"/>
          </w:tblCellMar>
        </w:tblPrEx>
        <w:trPr>
          <w:trHeight w:val="98" w:hRule="atLeast"/>
          <w:jc w:val="center"/>
        </w:trPr>
        <w:tc>
          <w:tcPr>
            <w:tcW w:w="9578" w:type="dxa"/>
            <w:gridSpan w:val="9"/>
            <w:tcBorders>
              <w:top w:val="nil"/>
              <w:left w:val="nil"/>
              <w:bottom w:val="nil"/>
              <w:right w:val="nil"/>
            </w:tcBorders>
            <w:shd w:val="clear" w:color="auto" w:fill="auto"/>
            <w:vAlign w:val="bottom"/>
          </w:tcPr>
          <w:p>
            <w:pPr>
              <w:widowControl/>
              <w:autoSpaceDE w:val="0"/>
              <w:spacing w:line="340" w:lineRule="exact"/>
              <w:jc w:val="left"/>
              <w:textAlignment w:val="bottom"/>
              <w:rPr>
                <w:rFonts w:ascii="宋体" w:hAnsi="宋体" w:cs="宋体"/>
                <w:sz w:val="20"/>
                <w:szCs w:val="20"/>
              </w:rPr>
            </w:pPr>
            <w:r>
              <w:rPr>
                <w:rFonts w:hint="eastAsia" w:ascii="宋体" w:hAnsi="宋体" w:cs="宋体"/>
                <w:kern w:val="0"/>
                <w:sz w:val="20"/>
                <w:szCs w:val="20"/>
              </w:rPr>
              <w:t>填表说明见附件2                       制表：马克思主义学院</w:t>
            </w:r>
          </w:p>
        </w:tc>
      </w:tr>
    </w:tbl>
    <w:p>
      <w:pPr>
        <w:rPr>
          <w:rFonts w:ascii="方正小标宋简体" w:eastAsia="方正小标宋简体"/>
          <w:sz w:val="36"/>
          <w:szCs w:val="36"/>
        </w:rPr>
        <w:sectPr>
          <w:footerReference r:id="rId3" w:type="default"/>
          <w:pgSz w:w="11906" w:h="16838"/>
          <w:pgMar w:top="1134" w:right="1134" w:bottom="1134" w:left="1134" w:header="851" w:footer="992" w:gutter="0"/>
          <w:cols w:space="425" w:num="1"/>
          <w:docGrid w:type="lines" w:linePitch="312" w:charSpace="0"/>
        </w:sectPr>
      </w:pPr>
    </w:p>
    <w:p>
      <w:pPr>
        <w:autoSpaceDE w:val="0"/>
        <w:spacing w:line="460" w:lineRule="exact"/>
        <w:rPr>
          <w:rFonts w:ascii="华文楷体" w:hAnsi="华文楷体" w:eastAsia="华文楷体" w:cs="华文楷体"/>
          <w:sz w:val="28"/>
          <w:szCs w:val="28"/>
        </w:rPr>
      </w:pPr>
      <w:r>
        <w:rPr>
          <w:rFonts w:hint="eastAsia" w:ascii="华文楷体" w:hAnsi="华文楷体" w:eastAsia="华文楷体" w:cs="华文楷体"/>
          <w:sz w:val="28"/>
          <w:szCs w:val="28"/>
        </w:rPr>
        <w:t>附件2：</w:t>
      </w:r>
    </w:p>
    <w:p>
      <w:pPr>
        <w:autoSpaceDE w:val="0"/>
        <w:spacing w:line="460" w:lineRule="exact"/>
        <w:jc w:val="center"/>
        <w:rPr>
          <w:rFonts w:ascii="宋体" w:hAnsi="宋体" w:cs="宋体"/>
          <w:b/>
          <w:bCs/>
          <w:sz w:val="32"/>
          <w:szCs w:val="32"/>
        </w:rPr>
      </w:pPr>
      <w:r>
        <w:rPr>
          <w:rFonts w:hint="eastAsia" w:ascii="宋体" w:hAnsi="宋体" w:cs="宋体"/>
          <w:b/>
          <w:bCs/>
          <w:sz w:val="32"/>
          <w:szCs w:val="32"/>
        </w:rPr>
        <w:t>武汉理工大学马克思主义学院</w:t>
      </w:r>
    </w:p>
    <w:p>
      <w:pPr>
        <w:autoSpaceDE w:val="0"/>
        <w:spacing w:line="460" w:lineRule="exact"/>
        <w:jc w:val="center"/>
        <w:rPr>
          <w:rFonts w:ascii="宋体" w:hAnsi="宋体" w:cs="宋体"/>
          <w:b/>
          <w:bCs/>
          <w:sz w:val="32"/>
          <w:szCs w:val="32"/>
        </w:rPr>
      </w:pPr>
      <w:r>
        <w:rPr>
          <w:rFonts w:hint="eastAsia" w:ascii="宋体" w:hAnsi="宋体" w:cs="宋体"/>
          <w:b/>
          <w:bCs/>
          <w:sz w:val="32"/>
          <w:szCs w:val="32"/>
        </w:rPr>
        <w:t>硕士研究生学业奖学金综合测评表填表办法</w:t>
      </w:r>
    </w:p>
    <w:p>
      <w:pPr>
        <w:autoSpaceDE w:val="0"/>
        <w:spacing w:line="460" w:lineRule="exact"/>
        <w:ind w:firstLine="560" w:firstLineChars="200"/>
        <w:rPr>
          <w:rFonts w:ascii="仿宋_GB2312" w:eastAsia="仿宋_GB2312"/>
          <w:sz w:val="28"/>
          <w:szCs w:val="28"/>
        </w:rPr>
      </w:pPr>
    </w:p>
    <w:p>
      <w:pPr>
        <w:autoSpaceDE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为更加科学准确地指导学生填写《马克思主义学院研究生学业奖学金综合测评表》，马克思主义学院特制定本填表办法，具体内容如下：</w:t>
      </w:r>
    </w:p>
    <w:p>
      <w:pPr>
        <w:autoSpaceDE w:val="0"/>
        <w:spacing w:line="460" w:lineRule="exact"/>
        <w:ind w:firstLine="560" w:firstLineChars="200"/>
        <w:rPr>
          <w:rFonts w:ascii="仿宋" w:hAnsi="仿宋" w:eastAsia="仿宋"/>
          <w:sz w:val="28"/>
          <w:szCs w:val="28"/>
        </w:rPr>
      </w:pPr>
      <w:r>
        <w:rPr>
          <w:rFonts w:hint="eastAsia" w:ascii="仿宋" w:hAnsi="仿宋" w:eastAsia="仿宋"/>
          <w:sz w:val="28"/>
          <w:szCs w:val="28"/>
        </w:rPr>
        <w:t>1、关于德育评价的填表办法</w:t>
      </w:r>
    </w:p>
    <w:p>
      <w:pPr>
        <w:autoSpaceDE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w:t>
      </w:r>
      <w:r>
        <w:rPr>
          <w:rFonts w:hint="eastAsia" w:ascii="仿宋" w:hAnsi="仿宋" w:eastAsia="仿宋"/>
          <w:sz w:val="28"/>
          <w:szCs w:val="28"/>
        </w:rPr>
        <w:t>1）积极参加志愿服务活动以“志愿汇”APP认定志愿服务时数为准，按1小时0.1分计算，最高20小时，计2分，否则不予加分。</w:t>
      </w:r>
    </w:p>
    <w:p>
      <w:pPr>
        <w:autoSpaceDE w:val="0"/>
        <w:spacing w:line="46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cs="仿宋"/>
          <w:sz w:val="28"/>
          <w:szCs w:val="28"/>
        </w:rPr>
        <w:t>关于智育评价的填表办法</w:t>
      </w:r>
    </w:p>
    <w:p>
      <w:pPr>
        <w:autoSpaceDE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w:t>
      </w:r>
      <w:r>
        <w:rPr>
          <w:rFonts w:hint="eastAsia" w:ascii="仿宋" w:hAnsi="仿宋" w:eastAsia="仿宋"/>
          <w:sz w:val="28"/>
          <w:szCs w:val="28"/>
        </w:rPr>
        <w:t>1）一年级研究生的平均学分绩为该学年全部所修课程的平均学分绩，二年级研究生的平均学分绩为一、二年级全部所修课程的平均学分绩。</w:t>
      </w:r>
    </w:p>
    <w:p>
      <w:pPr>
        <w:autoSpaceDE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w:t>
      </w:r>
      <w:r>
        <w:rPr>
          <w:rFonts w:hint="eastAsia" w:ascii="仿宋" w:hAnsi="仿宋" w:eastAsia="仿宋"/>
          <w:sz w:val="28"/>
          <w:szCs w:val="28"/>
        </w:rPr>
        <w:t>2）参加学术活动校内以学院研科协为准，校外需提供相关会议安排、会议手册作为证明或本人参会时长证明，参会中宣读论文或进行主讲发言，需提供相关会议安排或会议手册作为证明。</w:t>
      </w:r>
    </w:p>
    <w:p>
      <w:pPr>
        <w:autoSpaceDE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w:t>
      </w:r>
      <w:r>
        <w:rPr>
          <w:rFonts w:hint="eastAsia" w:ascii="仿宋" w:hAnsi="仿宋" w:eastAsia="仿宋"/>
          <w:sz w:val="28"/>
          <w:szCs w:val="28"/>
        </w:rPr>
        <w:t>3）转载论文在扣除原发表论文已计入分值的基础上加分。</w:t>
      </w:r>
    </w:p>
    <w:p>
      <w:pPr>
        <w:autoSpaceDE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w:t>
      </w:r>
      <w:r>
        <w:rPr>
          <w:rFonts w:hint="eastAsia" w:ascii="仿宋" w:hAnsi="仿宋" w:eastAsia="仿宋"/>
          <w:sz w:val="28"/>
          <w:szCs w:val="28"/>
        </w:rPr>
        <w:t>4）研究生</w:t>
      </w:r>
      <w:r>
        <w:rPr>
          <w:rFonts w:hint="eastAsia" w:ascii="仿宋" w:hAnsi="仿宋" w:eastAsia="仿宋" w:cs="仿宋"/>
          <w:sz w:val="28"/>
          <w:szCs w:val="28"/>
        </w:rPr>
        <w:t>学业奖学金论文发表时间认定：前一学年的</w:t>
      </w:r>
      <w:r>
        <w:rPr>
          <w:rFonts w:hint="eastAsia" w:ascii="仿宋" w:hAnsi="仿宋" w:eastAsia="仿宋"/>
          <w:sz w:val="28"/>
          <w:szCs w:val="28"/>
        </w:rPr>
        <w:t>9月1日至本学年度的8月31日；署名认定：申请研究生</w:t>
      </w:r>
      <w:r>
        <w:rPr>
          <w:rFonts w:hint="eastAsia" w:ascii="仿宋" w:hAnsi="仿宋" w:eastAsia="仿宋" w:cs="仿宋"/>
          <w:sz w:val="28"/>
          <w:szCs w:val="28"/>
        </w:rPr>
        <w:t>学业奖学金的研究生本人为第一作者或指导教师为第一作者，研究生本人为第二作者，公开发表第一署名单位为武汉理工大学，所有学术论文均以见刊为准；研究生本人必须为第一作者，或者导师为第一作者，本人为第二作者，学生本人按照本规定的</w:t>
      </w:r>
      <w:r>
        <w:rPr>
          <w:rFonts w:hint="eastAsia" w:ascii="仿宋" w:hAnsi="仿宋" w:eastAsia="仿宋"/>
          <w:sz w:val="28"/>
          <w:szCs w:val="28"/>
        </w:rPr>
        <w:t>80%加分。</w:t>
      </w:r>
    </w:p>
    <w:p>
      <w:pPr>
        <w:autoSpaceDE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w:t>
      </w:r>
      <w:r>
        <w:rPr>
          <w:rFonts w:hint="eastAsia" w:ascii="仿宋" w:hAnsi="仿宋" w:eastAsia="仿宋"/>
          <w:sz w:val="28"/>
          <w:szCs w:val="28"/>
        </w:rPr>
        <w:t>5）以不同成果参与不同竞赛获奖可累计加分，同项目、不同级别参与不同竞赛只记一项最高分；学术学科竞赛等级参考学校有关规定执行，优秀奖或仅报名不加分；同一成果不得用于多项加分，只取最高分。</w:t>
      </w:r>
    </w:p>
    <w:p>
      <w:pPr>
        <w:autoSpaceDE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w:t>
      </w:r>
      <w:r>
        <w:rPr>
          <w:rFonts w:hint="eastAsia" w:ascii="仿宋" w:hAnsi="仿宋" w:eastAsia="仿宋"/>
          <w:sz w:val="28"/>
          <w:szCs w:val="28"/>
        </w:rPr>
        <w:t>6）因被检索而加分的论文须提供检索证明。论文见刊时间与能被检索时间不一致的，其加分有效期间按论文见刊时间计算。接受检索证明截止日期为8月31日，检索时间超出该时间范围的不予加分。</w:t>
      </w:r>
    </w:p>
    <w:p>
      <w:pPr>
        <w:autoSpaceDE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w:t>
      </w:r>
      <w:r>
        <w:rPr>
          <w:rFonts w:hint="eastAsia" w:ascii="仿宋" w:hAnsi="仿宋" w:eastAsia="仿宋"/>
          <w:sz w:val="28"/>
          <w:szCs w:val="28"/>
        </w:rPr>
        <w:t>7）申请参编教材、学术著作加分，须提供参编教材、学术著作的正式出版物，参与程度应在出版物的文字说明中得到体现。</w:t>
      </w:r>
    </w:p>
    <w:p>
      <w:pPr>
        <w:autoSpaceDE w:val="0"/>
        <w:spacing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）关于发表网文被转载，如《人民日报》、《光明日报》、经济日报、新华网、人民网、学习强国、X</w:t>
      </w:r>
      <w:r>
        <w:rPr>
          <w:rFonts w:ascii="仿宋" w:hAnsi="仿宋" w:eastAsia="仿宋"/>
          <w:sz w:val="28"/>
          <w:szCs w:val="28"/>
        </w:rPr>
        <w:t>X</w:t>
      </w:r>
      <w:r>
        <w:rPr>
          <w:rFonts w:hint="eastAsia" w:ascii="仿宋" w:hAnsi="仿宋" w:eastAsia="仿宋"/>
          <w:sz w:val="28"/>
          <w:szCs w:val="28"/>
        </w:rPr>
        <w:t>省网，具体评议等级由学院学术评审委员会最终认定。</w:t>
      </w:r>
    </w:p>
    <w:p>
      <w:pPr>
        <w:pStyle w:val="5"/>
        <w:widowControl/>
        <w:spacing w:line="460" w:lineRule="exact"/>
        <w:ind w:firstLine="560"/>
        <w:rPr>
          <w:rFonts w:ascii="仿宋" w:hAnsi="仿宋" w:eastAsia="仿宋"/>
          <w:sz w:val="28"/>
          <w:szCs w:val="28"/>
        </w:rPr>
      </w:pPr>
      <w:r>
        <w:rPr>
          <w:rFonts w:hint="eastAsia" w:ascii="仿宋" w:hAnsi="仿宋" w:eastAsia="仿宋"/>
          <w:sz w:val="28"/>
          <w:szCs w:val="28"/>
        </w:rPr>
        <w:t>（9）关于学科学术竞赛，</w:t>
      </w:r>
      <w:r>
        <w:rPr>
          <w:rFonts w:hint="eastAsia" w:ascii="仿宋" w:hAnsi="仿宋" w:eastAsia="仿宋" w:cs="仿宋"/>
          <w:sz w:val="28"/>
          <w:szCs w:val="28"/>
        </w:rPr>
        <w:t>对参加学术科技竞赛类（含创新创业类）取得一定成绩、获得奖励或表彰等情况，加分的方式进行量化的评价。获得国家级特等奖记</w:t>
      </w:r>
      <w:r>
        <w:rPr>
          <w:rFonts w:hint="eastAsia" w:ascii="仿宋" w:hAnsi="仿宋" w:eastAsia="仿宋"/>
          <w:sz w:val="28"/>
          <w:szCs w:val="28"/>
        </w:rPr>
        <w:t>50</w:t>
      </w:r>
      <w:r>
        <w:rPr>
          <w:rFonts w:hint="eastAsia" w:ascii="仿宋" w:hAnsi="仿宋" w:eastAsia="仿宋" w:cs="仿宋"/>
          <w:sz w:val="28"/>
          <w:szCs w:val="28"/>
        </w:rPr>
        <w:t>分、一等奖记</w:t>
      </w:r>
      <w:r>
        <w:rPr>
          <w:rFonts w:hint="eastAsia" w:ascii="仿宋" w:hAnsi="仿宋" w:eastAsia="仿宋"/>
          <w:sz w:val="28"/>
          <w:szCs w:val="28"/>
        </w:rPr>
        <w:t>40</w:t>
      </w:r>
      <w:r>
        <w:rPr>
          <w:rFonts w:hint="eastAsia" w:ascii="仿宋" w:hAnsi="仿宋" w:eastAsia="仿宋" w:cs="仿宋"/>
          <w:sz w:val="28"/>
          <w:szCs w:val="28"/>
        </w:rPr>
        <w:t>分、二等奖</w:t>
      </w:r>
      <w:r>
        <w:rPr>
          <w:rFonts w:hint="eastAsia" w:ascii="仿宋" w:hAnsi="仿宋" w:eastAsia="仿宋"/>
          <w:sz w:val="28"/>
          <w:szCs w:val="28"/>
        </w:rPr>
        <w:t>30</w:t>
      </w:r>
      <w:r>
        <w:rPr>
          <w:rFonts w:hint="eastAsia" w:ascii="仿宋" w:hAnsi="仿宋" w:eastAsia="仿宋" w:cs="仿宋"/>
          <w:sz w:val="28"/>
          <w:szCs w:val="28"/>
        </w:rPr>
        <w:t>分、三等奖</w:t>
      </w:r>
      <w:r>
        <w:rPr>
          <w:rFonts w:hint="eastAsia" w:ascii="仿宋" w:hAnsi="仿宋" w:eastAsia="仿宋"/>
          <w:sz w:val="28"/>
          <w:szCs w:val="28"/>
        </w:rPr>
        <w:t>15</w:t>
      </w:r>
      <w:r>
        <w:rPr>
          <w:rFonts w:hint="eastAsia" w:ascii="仿宋" w:hAnsi="仿宋" w:eastAsia="仿宋" w:cs="仿宋"/>
          <w:sz w:val="28"/>
          <w:szCs w:val="28"/>
        </w:rPr>
        <w:t>分；获得省级特等奖记</w:t>
      </w:r>
      <w:r>
        <w:rPr>
          <w:rFonts w:hint="eastAsia" w:ascii="仿宋" w:hAnsi="仿宋" w:eastAsia="仿宋"/>
          <w:sz w:val="28"/>
          <w:szCs w:val="28"/>
        </w:rPr>
        <w:t>15</w:t>
      </w:r>
      <w:r>
        <w:rPr>
          <w:rFonts w:hint="eastAsia" w:ascii="仿宋" w:hAnsi="仿宋" w:eastAsia="仿宋" w:cs="仿宋"/>
          <w:sz w:val="28"/>
          <w:szCs w:val="28"/>
        </w:rPr>
        <w:t>分、一等奖记</w:t>
      </w:r>
      <w:r>
        <w:rPr>
          <w:rFonts w:hint="eastAsia" w:ascii="仿宋" w:hAnsi="仿宋" w:eastAsia="仿宋"/>
          <w:sz w:val="28"/>
          <w:szCs w:val="28"/>
        </w:rPr>
        <w:t>10</w:t>
      </w:r>
      <w:r>
        <w:rPr>
          <w:rFonts w:hint="eastAsia" w:ascii="仿宋" w:hAnsi="仿宋" w:eastAsia="仿宋" w:cs="仿宋"/>
          <w:sz w:val="28"/>
          <w:szCs w:val="28"/>
        </w:rPr>
        <w:t>分、二等奖记</w:t>
      </w:r>
      <w:r>
        <w:rPr>
          <w:rFonts w:hint="eastAsia" w:ascii="仿宋" w:hAnsi="仿宋" w:eastAsia="仿宋"/>
          <w:sz w:val="28"/>
          <w:szCs w:val="28"/>
        </w:rPr>
        <w:t>6分、三等奖记4分</w:t>
      </w:r>
      <w:r>
        <w:rPr>
          <w:rFonts w:hint="eastAsia" w:ascii="仿宋" w:hAnsi="仿宋" w:eastAsia="仿宋" w:cs="仿宋"/>
          <w:sz w:val="28"/>
          <w:szCs w:val="28"/>
        </w:rPr>
        <w:t>，其他情况加分不超过</w:t>
      </w:r>
      <w:r>
        <w:rPr>
          <w:rFonts w:hint="eastAsia" w:ascii="仿宋" w:hAnsi="仿宋" w:eastAsia="仿宋"/>
          <w:sz w:val="28"/>
          <w:szCs w:val="28"/>
        </w:rPr>
        <w:t>2分（其中文献综述大赛获得</w:t>
      </w:r>
      <w:r>
        <w:rPr>
          <w:rFonts w:hint="eastAsia" w:ascii="仿宋" w:hAnsi="仿宋" w:eastAsia="仿宋" w:cs="仿宋"/>
          <w:sz w:val="28"/>
          <w:szCs w:val="28"/>
        </w:rPr>
        <w:t>省级特等奖记</w:t>
      </w:r>
      <w:r>
        <w:rPr>
          <w:rFonts w:hint="eastAsia" w:ascii="仿宋" w:hAnsi="仿宋" w:eastAsia="仿宋"/>
          <w:sz w:val="28"/>
          <w:szCs w:val="28"/>
        </w:rPr>
        <w:t>8</w:t>
      </w:r>
      <w:r>
        <w:rPr>
          <w:rFonts w:hint="eastAsia" w:ascii="仿宋" w:hAnsi="仿宋" w:eastAsia="仿宋" w:cs="仿宋"/>
          <w:sz w:val="28"/>
          <w:szCs w:val="28"/>
        </w:rPr>
        <w:t>分、一等奖记</w:t>
      </w:r>
      <w:r>
        <w:rPr>
          <w:rFonts w:hint="eastAsia" w:ascii="仿宋" w:hAnsi="仿宋" w:eastAsia="仿宋"/>
          <w:sz w:val="28"/>
          <w:szCs w:val="28"/>
        </w:rPr>
        <w:t>4</w:t>
      </w:r>
      <w:r>
        <w:rPr>
          <w:rFonts w:hint="eastAsia" w:ascii="仿宋" w:hAnsi="仿宋" w:eastAsia="仿宋" w:cs="仿宋"/>
          <w:sz w:val="28"/>
          <w:szCs w:val="28"/>
        </w:rPr>
        <w:t>分、二等奖记</w:t>
      </w:r>
      <w:r>
        <w:rPr>
          <w:rFonts w:hint="eastAsia" w:ascii="仿宋" w:hAnsi="仿宋" w:eastAsia="仿宋"/>
          <w:sz w:val="28"/>
          <w:szCs w:val="28"/>
        </w:rPr>
        <w:t>3分、三等奖记2分）；获得校级特等奖记4分、一等奖3分、二等奖2分、三等奖1分。以上获奖或者表彰只记一类一次最高级别奖励或表彰加分，加分不累计。</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以上获奖均以获奖证书为认定标准，获奖团队成员原则上只认定前8名成员。团队人数≤8人，以获奖证书团队成员排序为准，排序第一的按总分80%计分，排序第二至第四的按总分60%计分，排序第五至第八的按总分40%计分。团队人数≤6人，以获奖证书团队成员排序为准，排序第一的按总分80%计分，排序第二至第三的按总分60%计分，排序第四至第六的按总分40%计分。</w:t>
      </w:r>
    </w:p>
    <w:p>
      <w:pPr>
        <w:spacing w:line="46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10</w:t>
      </w:r>
      <w:r>
        <w:rPr>
          <w:rFonts w:hint="eastAsia" w:ascii="仿宋" w:hAnsi="仿宋" w:eastAsia="仿宋"/>
          <w:sz w:val="28"/>
          <w:szCs w:val="28"/>
          <w:lang w:eastAsia="zh-CN"/>
        </w:rPr>
        <w:t>）</w:t>
      </w:r>
      <w:r>
        <w:rPr>
          <w:rFonts w:hint="eastAsia" w:ascii="仿宋" w:hAnsi="仿宋" w:eastAsia="仿宋"/>
          <w:sz w:val="28"/>
          <w:szCs w:val="28"/>
        </w:rPr>
        <w:t>以上各类学术成果和表彰的奖励加分，均需提供相关证明（证书）</w:t>
      </w:r>
      <w:r>
        <w:rPr>
          <w:rFonts w:hint="eastAsia" w:ascii="仿宋" w:hAnsi="仿宋" w:eastAsia="仿宋"/>
          <w:sz w:val="28"/>
          <w:szCs w:val="28"/>
          <w:lang w:val="en-US" w:eastAsia="zh-CN"/>
        </w:rPr>
        <w:t>原件和</w:t>
      </w:r>
      <w:r>
        <w:rPr>
          <w:rFonts w:hint="eastAsia" w:ascii="仿宋" w:hAnsi="仿宋" w:eastAsia="仿宋"/>
          <w:sz w:val="28"/>
          <w:szCs w:val="28"/>
        </w:rPr>
        <w:t>复印件，原则上只认定各级政府部门和机构认定和颁发的证明材料，如有异议，由学院评审委员会最终认定。</w:t>
      </w:r>
    </w:p>
    <w:p>
      <w:pPr>
        <w:autoSpaceDE w:val="0"/>
        <w:spacing w:line="460" w:lineRule="exact"/>
        <w:ind w:firstLine="560" w:firstLineChars="200"/>
        <w:rPr>
          <w:rFonts w:ascii="仿宋" w:hAnsi="仿宋" w:eastAsia="仿宋"/>
          <w:sz w:val="28"/>
          <w:szCs w:val="28"/>
        </w:rPr>
      </w:pPr>
      <w:r>
        <w:rPr>
          <w:rFonts w:hint="eastAsia" w:ascii="仿宋" w:hAnsi="仿宋" w:eastAsia="仿宋"/>
          <w:sz w:val="28"/>
          <w:szCs w:val="28"/>
        </w:rPr>
        <w:t xml:space="preserve"> 3．关于文体评价的填表办法</w:t>
      </w:r>
    </w:p>
    <w:p>
      <w:pPr>
        <w:autoSpaceDE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w:t>
      </w:r>
      <w:r>
        <w:rPr>
          <w:rFonts w:hint="eastAsia" w:ascii="仿宋" w:hAnsi="仿宋" w:eastAsia="仿宋"/>
          <w:sz w:val="28"/>
          <w:szCs w:val="28"/>
        </w:rPr>
        <w:t>1）文艺体育泛指活跃校园文化的各类文艺文化及体育活动。</w:t>
      </w:r>
    </w:p>
    <w:p>
      <w:pPr>
        <w:autoSpaceDE w:val="0"/>
        <w:spacing w:line="460" w:lineRule="exact"/>
        <w:ind w:firstLine="560" w:firstLineChars="200"/>
        <w:rPr>
          <w:rFonts w:ascii="仿宋" w:hAnsi="仿宋" w:eastAsia="仿宋"/>
          <w:sz w:val="28"/>
          <w:szCs w:val="28"/>
        </w:rPr>
      </w:pPr>
      <w:r>
        <w:rPr>
          <w:rFonts w:hint="eastAsia" w:ascii="仿宋" w:hAnsi="仿宋" w:eastAsia="仿宋" w:cs="仿宋"/>
          <w:sz w:val="28"/>
          <w:szCs w:val="28"/>
        </w:rPr>
        <w:t>（</w:t>
      </w:r>
      <w:r>
        <w:rPr>
          <w:rFonts w:hint="eastAsia" w:ascii="仿宋" w:hAnsi="仿宋" w:eastAsia="仿宋"/>
          <w:sz w:val="28"/>
          <w:szCs w:val="28"/>
        </w:rPr>
        <w:t>2）参加学校和学院组织的大型文艺文化活动、文体竞赛（凡此类活动必须是经研会通知的活动），每次加0.2分。累计加分最高不超过2分（其中文化类活动需有获奖证明方可认定加分，仅认定特等奖、一等奖、二等奖、三等奖）。</w:t>
      </w:r>
    </w:p>
    <w:p>
      <w:pPr>
        <w:spacing w:line="440" w:lineRule="exact"/>
        <w:ind w:firstLine="560" w:firstLineChars="200"/>
        <w:rPr>
          <w:rFonts w:ascii="仿宋_GB2312" w:hAnsi="Calibri" w:eastAsia="仿宋_GB2312" w:cs="宋体"/>
          <w:sz w:val="28"/>
          <w:szCs w:val="28"/>
        </w:rPr>
      </w:pPr>
      <w:r>
        <w:rPr>
          <w:rFonts w:hint="eastAsia" w:ascii="仿宋" w:hAnsi="仿宋" w:eastAsia="仿宋"/>
          <w:sz w:val="28"/>
          <w:szCs w:val="28"/>
        </w:rPr>
        <w:t>（3）</w:t>
      </w:r>
      <w:r>
        <w:rPr>
          <w:rFonts w:hint="eastAsia" w:ascii="仿宋_GB2312" w:hAnsi="Calibri" w:eastAsia="仿宋_GB2312" w:cs="宋体"/>
          <w:sz w:val="28"/>
          <w:szCs w:val="28"/>
        </w:rPr>
        <w:t>对参加文体竞赛类竞赛取得一定成绩、获得奖励或表彰等情况，予以加分的方式进行量化的评价。在学校组织的文体竞赛中，获第1名（冠军）记3分，第2名（亚军）记2分，第3名（季军）记1分。团体竞赛第1名（一等奖），每人记3分；第2名（二等奖），每人记2分；第3名（三等奖），每人记1分。省级获奖，计分在校级的基础上加50%；国家级奖，计分在校级的基础上加100%（其中团队竞赛主力和非主力参照80%、50%来测算加分）。</w:t>
      </w:r>
    </w:p>
    <w:p>
      <w:pPr>
        <w:spacing w:line="440" w:lineRule="exact"/>
        <w:ind w:firstLine="560" w:firstLineChars="200"/>
        <w:rPr>
          <w:rFonts w:ascii="仿宋_GB2312" w:hAnsi="Calibri" w:eastAsia="仿宋_GB2312" w:cs="宋体"/>
          <w:sz w:val="28"/>
          <w:szCs w:val="28"/>
        </w:rPr>
      </w:pPr>
      <w:r>
        <w:rPr>
          <w:rFonts w:hint="eastAsia" w:ascii="仿宋_GB2312" w:hAnsi="Calibri" w:eastAsia="仿宋_GB2312" w:cs="宋体"/>
          <w:sz w:val="28"/>
          <w:szCs w:val="28"/>
        </w:rPr>
        <w:t>（4）文艺文化体育的参与加分和文体竞赛加分上限不超过4分。</w:t>
      </w:r>
    </w:p>
    <w:p>
      <w:pPr>
        <w:autoSpaceDE w:val="0"/>
        <w:spacing w:line="460" w:lineRule="exact"/>
        <w:ind w:firstLine="560" w:firstLineChars="200"/>
        <w:rPr>
          <w:rFonts w:ascii="仿宋" w:hAnsi="仿宋" w:eastAsia="仿宋"/>
          <w:sz w:val="28"/>
          <w:szCs w:val="28"/>
        </w:rPr>
      </w:pPr>
      <w:r>
        <w:rPr>
          <w:rFonts w:hint="eastAsia" w:ascii="仿宋" w:hAnsi="仿宋" w:eastAsia="仿宋"/>
          <w:sz w:val="28"/>
          <w:szCs w:val="28"/>
        </w:rPr>
        <w:t xml:space="preserve"> 4．关于社会工作评价的填表办法</w:t>
      </w:r>
    </w:p>
    <w:p>
      <w:pPr>
        <w:autoSpaceDE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sz w:val="28"/>
          <w:szCs w:val="28"/>
        </w:rPr>
        <w:t>1）担任学生干部未满一学年，但在一学期以上的，按相应分值的一半分，但主动辞职或因为工作不称职被免职的不</w:t>
      </w:r>
      <w:r>
        <w:rPr>
          <w:rFonts w:hint="eastAsia" w:ascii="仿宋" w:hAnsi="仿宋" w:eastAsia="仿宋" w:cs="仿宋"/>
          <w:sz w:val="28"/>
          <w:szCs w:val="28"/>
        </w:rPr>
        <w:t>予加分。同时担任几项职务的，只取一项最高分。获得学校学院各级荣誉者，不累计加分，只取一项最高分。</w:t>
      </w:r>
    </w:p>
    <w:p>
      <w:pPr>
        <w:autoSpaceDE w:val="0"/>
        <w:spacing w:line="4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其他校院级组织可按相应等级加分，具体由学院评定委员会最终认定。</w:t>
      </w:r>
    </w:p>
    <w:p>
      <w:pPr>
        <w:autoSpaceDE w:val="0"/>
        <w:spacing w:line="460" w:lineRule="exact"/>
        <w:ind w:firstLine="560" w:firstLineChars="200"/>
        <w:rPr>
          <w:rFonts w:hint="eastAsia" w:ascii="仿宋" w:hAnsi="仿宋" w:eastAsia="仿宋"/>
          <w:sz w:val="28"/>
          <w:szCs w:val="28"/>
        </w:rPr>
      </w:pPr>
    </w:p>
    <w:p>
      <w:pPr>
        <w:rPr>
          <w:rFonts w:ascii="方正小标宋简体" w:eastAsia="方正小标宋简体"/>
          <w:sz w:val="36"/>
          <w:szCs w:val="36"/>
        </w:rPr>
        <w:sectPr>
          <w:pgSz w:w="11906" w:h="16838"/>
          <w:pgMar w:top="1440" w:right="1797" w:bottom="1440" w:left="1797" w:header="851" w:footer="992" w:gutter="0"/>
          <w:cols w:space="425" w:num="1"/>
          <w:docGrid w:type="lines" w:linePitch="312" w:charSpace="0"/>
        </w:sectPr>
      </w:pPr>
    </w:p>
    <w:p>
      <w:pPr>
        <w:autoSpaceDE w:val="0"/>
        <w:spacing w:line="460" w:lineRule="exact"/>
        <w:jc w:val="center"/>
        <w:rPr>
          <w:rFonts w:ascii="方正小标宋简体" w:eastAsia="方正小标宋简体"/>
          <w:sz w:val="28"/>
          <w:szCs w:val="28"/>
        </w:rPr>
      </w:pPr>
      <w:r>
        <w:rPr>
          <w:rFonts w:hint="eastAsia" w:ascii="宋体" w:hAnsi="宋体" w:cs="宋体"/>
          <w:b/>
          <w:bCs/>
          <w:sz w:val="36"/>
          <w:szCs w:val="36"/>
        </w:rPr>
        <w:t>学术学科竞赛获奖认定等级</w:t>
      </w:r>
    </w:p>
    <w:p>
      <w:pPr>
        <w:autoSpaceDE w:val="0"/>
        <w:spacing w:line="460" w:lineRule="exact"/>
        <w:jc w:val="center"/>
        <w:rPr>
          <w:rFonts w:ascii="仿宋_GB2312" w:eastAsia="仿宋_GB2312"/>
          <w:sz w:val="28"/>
          <w:szCs w:val="28"/>
        </w:rPr>
      </w:pPr>
    </w:p>
    <w:tbl>
      <w:tblPr>
        <w:tblStyle w:val="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tcBorders>
              <w:top w:val="single" w:color="auto" w:sz="4" w:space="0"/>
              <w:left w:val="double" w:color="auto" w:sz="2" w:space="0"/>
              <w:bottom w:val="double" w:color="auto" w:sz="2" w:space="0"/>
              <w:right w:val="single" w:color="auto" w:sz="4" w:space="0"/>
            </w:tcBorders>
            <w:shd w:val="clear" w:color="auto" w:fill="auto"/>
          </w:tcPr>
          <w:p>
            <w:pPr>
              <w:autoSpaceDE w:val="0"/>
              <w:spacing w:line="460" w:lineRule="exact"/>
              <w:jc w:val="center"/>
              <w:rPr>
                <w:rFonts w:ascii="等线" w:hAnsi="等线" w:eastAsia="等线"/>
                <w:kern w:val="0"/>
                <w:sz w:val="22"/>
                <w:szCs w:val="22"/>
              </w:rPr>
            </w:pPr>
            <w:r>
              <w:rPr>
                <w:rFonts w:ascii="仿宋_GB2312" w:eastAsia="仿宋_GB2312"/>
                <w:sz w:val="28"/>
                <w:szCs w:val="28"/>
              </w:rPr>
              <w:t>文献综述大赛</w:t>
            </w:r>
          </w:p>
        </w:tc>
        <w:tc>
          <w:tcPr>
            <w:tcW w:w="2750" w:type="dxa"/>
            <w:tcBorders>
              <w:top w:val="single" w:color="auto" w:sz="4" w:space="0"/>
              <w:left w:val="nil"/>
              <w:bottom w:val="double" w:color="auto" w:sz="2" w:space="0"/>
              <w:right w:val="double" w:color="auto" w:sz="2" w:space="0"/>
            </w:tcBorders>
            <w:shd w:val="clear" w:color="auto" w:fill="auto"/>
          </w:tcPr>
          <w:p>
            <w:pPr>
              <w:autoSpaceDE w:val="0"/>
              <w:spacing w:line="460" w:lineRule="exact"/>
              <w:jc w:val="center"/>
              <w:rPr>
                <w:rFonts w:ascii="仿宋_GB2312" w:eastAsia="仿宋_GB2312"/>
                <w:sz w:val="28"/>
                <w:szCs w:val="28"/>
              </w:rPr>
            </w:pPr>
            <w:r>
              <w:rPr>
                <w:rFonts w:ascii="仿宋_GB2312" w:eastAsia="仿宋_GB2312"/>
                <w:sz w:val="28"/>
                <w:szCs w:val="2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tcBorders>
              <w:top w:val="single" w:color="auto" w:sz="4" w:space="0"/>
              <w:left w:val="double" w:color="auto" w:sz="2" w:space="0"/>
              <w:bottom w:val="single" w:color="auto" w:sz="4" w:space="0"/>
              <w:right w:val="single" w:color="auto" w:sz="4" w:space="0"/>
            </w:tcBorders>
            <w:shd w:val="clear" w:color="auto" w:fill="auto"/>
          </w:tcPr>
          <w:p>
            <w:pPr>
              <w:autoSpaceDE w:val="0"/>
              <w:spacing w:line="460" w:lineRule="exact"/>
              <w:jc w:val="center"/>
              <w:rPr>
                <w:rFonts w:ascii="仿宋_GB2312" w:eastAsia="仿宋_GB2312"/>
                <w:sz w:val="28"/>
                <w:szCs w:val="28"/>
              </w:rPr>
            </w:pPr>
            <w:r>
              <w:rPr>
                <w:rFonts w:ascii="仿宋_GB2312" w:eastAsia="仿宋_GB2312"/>
                <w:sz w:val="28"/>
                <w:szCs w:val="28"/>
              </w:rPr>
              <w:t>XX届长江论坛</w:t>
            </w:r>
          </w:p>
        </w:tc>
        <w:tc>
          <w:tcPr>
            <w:tcW w:w="2750" w:type="dxa"/>
            <w:tcBorders>
              <w:top w:val="single" w:color="auto" w:sz="4" w:space="0"/>
              <w:left w:val="nil"/>
              <w:bottom w:val="single" w:color="auto" w:sz="4" w:space="0"/>
              <w:right w:val="double" w:color="auto" w:sz="2" w:space="0"/>
            </w:tcBorders>
            <w:shd w:val="clear" w:color="auto" w:fill="auto"/>
          </w:tcPr>
          <w:p>
            <w:pPr>
              <w:autoSpaceDE w:val="0"/>
              <w:spacing w:line="460" w:lineRule="exact"/>
              <w:jc w:val="center"/>
              <w:rPr>
                <w:rFonts w:ascii="仿宋_GB2312" w:eastAsia="仿宋_GB2312"/>
                <w:sz w:val="28"/>
                <w:szCs w:val="28"/>
              </w:rPr>
            </w:pPr>
            <w:r>
              <w:rPr>
                <w:rFonts w:ascii="仿宋_GB2312" w:eastAsia="仿宋_GB2312"/>
                <w:sz w:val="28"/>
                <w:szCs w:val="28"/>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tcBorders>
              <w:top w:val="single" w:color="auto" w:sz="4" w:space="0"/>
              <w:left w:val="double" w:color="auto" w:sz="2" w:space="0"/>
              <w:bottom w:val="single" w:color="auto" w:sz="4" w:space="0"/>
              <w:right w:val="single" w:color="auto" w:sz="4" w:space="0"/>
            </w:tcBorders>
            <w:shd w:val="clear" w:color="auto" w:fill="auto"/>
          </w:tcPr>
          <w:p>
            <w:pPr>
              <w:autoSpaceDE w:val="0"/>
              <w:spacing w:line="460" w:lineRule="exact"/>
              <w:jc w:val="center"/>
              <w:rPr>
                <w:rFonts w:ascii="等线" w:hAnsi="等线" w:eastAsia="等线"/>
                <w:kern w:val="0"/>
                <w:sz w:val="22"/>
                <w:szCs w:val="22"/>
              </w:rPr>
            </w:pPr>
            <w:r>
              <w:rPr>
                <w:rFonts w:ascii="仿宋_GB2312" w:eastAsia="仿宋_GB2312"/>
                <w:sz w:val="28"/>
                <w:szCs w:val="28"/>
              </w:rPr>
              <w:t>XX届科技史与科技哲学研究生论坛</w:t>
            </w:r>
          </w:p>
        </w:tc>
        <w:tc>
          <w:tcPr>
            <w:tcW w:w="2750" w:type="dxa"/>
            <w:tcBorders>
              <w:top w:val="single" w:color="auto" w:sz="4" w:space="0"/>
              <w:left w:val="nil"/>
              <w:bottom w:val="single" w:color="auto" w:sz="4" w:space="0"/>
              <w:right w:val="double" w:color="auto" w:sz="2" w:space="0"/>
            </w:tcBorders>
            <w:shd w:val="clear" w:color="auto" w:fill="auto"/>
          </w:tcPr>
          <w:p>
            <w:pPr>
              <w:autoSpaceDE w:val="0"/>
              <w:spacing w:line="460" w:lineRule="exact"/>
              <w:jc w:val="center"/>
              <w:rPr>
                <w:rFonts w:ascii="仿宋_GB2312" w:eastAsia="仿宋_GB2312"/>
                <w:sz w:val="28"/>
                <w:szCs w:val="28"/>
              </w:rPr>
            </w:pPr>
            <w:r>
              <w:rPr>
                <w:rFonts w:ascii="仿宋_GB2312" w:eastAsia="仿宋_GB2312"/>
                <w:sz w:val="28"/>
                <w:szCs w:val="28"/>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tcBorders>
              <w:top w:val="single" w:color="auto" w:sz="4" w:space="0"/>
              <w:left w:val="double" w:color="auto" w:sz="2" w:space="0"/>
              <w:bottom w:val="single" w:color="auto" w:sz="4" w:space="0"/>
              <w:right w:val="single" w:color="auto" w:sz="4" w:space="0"/>
            </w:tcBorders>
            <w:shd w:val="clear" w:color="auto" w:fill="auto"/>
          </w:tcPr>
          <w:p>
            <w:pPr>
              <w:autoSpaceDE w:val="0"/>
              <w:spacing w:line="460" w:lineRule="exact"/>
              <w:jc w:val="center"/>
              <w:rPr>
                <w:rFonts w:ascii="仿宋_GB2312" w:eastAsia="仿宋_GB2312"/>
                <w:sz w:val="28"/>
                <w:szCs w:val="28"/>
              </w:rPr>
            </w:pPr>
            <w:r>
              <w:rPr>
                <w:rFonts w:ascii="仿宋_GB2312" w:eastAsia="仿宋_GB2312"/>
                <w:sz w:val="28"/>
                <w:szCs w:val="28"/>
              </w:rPr>
              <w:t>湖北省自然辩证法研究会XX年会</w:t>
            </w:r>
          </w:p>
        </w:tc>
        <w:tc>
          <w:tcPr>
            <w:tcW w:w="2750" w:type="dxa"/>
            <w:tcBorders>
              <w:top w:val="single" w:color="auto" w:sz="4" w:space="0"/>
              <w:left w:val="nil"/>
              <w:bottom w:val="single" w:color="auto" w:sz="4" w:space="0"/>
              <w:right w:val="double" w:color="auto" w:sz="2" w:space="0"/>
            </w:tcBorders>
            <w:shd w:val="clear" w:color="auto" w:fill="auto"/>
          </w:tcPr>
          <w:p>
            <w:pPr>
              <w:autoSpaceDE w:val="0"/>
              <w:spacing w:line="460" w:lineRule="exact"/>
              <w:jc w:val="center"/>
              <w:rPr>
                <w:rFonts w:ascii="仿宋_GB2312" w:eastAsia="仿宋_GB2312"/>
                <w:sz w:val="28"/>
                <w:szCs w:val="28"/>
              </w:rPr>
            </w:pPr>
            <w:r>
              <w:rPr>
                <w:rFonts w:ascii="仿宋_GB2312" w:eastAsia="仿宋_GB2312"/>
                <w:sz w:val="28"/>
                <w:szCs w:val="28"/>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tcBorders>
              <w:top w:val="single" w:color="auto" w:sz="4" w:space="0"/>
              <w:left w:val="double" w:color="auto" w:sz="2" w:space="0"/>
              <w:bottom w:val="single" w:color="auto" w:sz="4" w:space="0"/>
              <w:right w:val="single" w:color="auto" w:sz="4" w:space="0"/>
            </w:tcBorders>
            <w:shd w:val="clear" w:color="auto" w:fill="auto"/>
          </w:tcPr>
          <w:p>
            <w:pPr>
              <w:autoSpaceDE w:val="0"/>
              <w:spacing w:line="460" w:lineRule="exact"/>
              <w:jc w:val="center"/>
              <w:rPr>
                <w:rFonts w:ascii="仿宋_GB2312" w:eastAsia="仿宋_GB2312"/>
                <w:sz w:val="28"/>
                <w:szCs w:val="28"/>
              </w:rPr>
            </w:pPr>
            <w:r>
              <w:rPr>
                <w:rFonts w:ascii="仿宋_GB2312" w:eastAsia="仿宋_GB2312"/>
                <w:sz w:val="28"/>
                <w:szCs w:val="28"/>
              </w:rPr>
              <w:t>XX年鄂闽伦理学研讨会</w:t>
            </w:r>
          </w:p>
        </w:tc>
        <w:tc>
          <w:tcPr>
            <w:tcW w:w="2750" w:type="dxa"/>
            <w:tcBorders>
              <w:top w:val="single" w:color="auto" w:sz="4" w:space="0"/>
              <w:left w:val="nil"/>
              <w:bottom w:val="single" w:color="auto" w:sz="4" w:space="0"/>
              <w:right w:val="double" w:color="auto" w:sz="2" w:space="0"/>
            </w:tcBorders>
            <w:shd w:val="clear" w:color="auto" w:fill="auto"/>
          </w:tcPr>
          <w:p>
            <w:pPr>
              <w:autoSpaceDE w:val="0"/>
              <w:spacing w:line="460" w:lineRule="exact"/>
              <w:jc w:val="center"/>
              <w:rPr>
                <w:rFonts w:ascii="仿宋_GB2312" w:eastAsia="仿宋_GB2312"/>
                <w:sz w:val="28"/>
                <w:szCs w:val="28"/>
              </w:rPr>
            </w:pPr>
            <w:r>
              <w:rPr>
                <w:rFonts w:ascii="仿宋_GB2312" w:eastAsia="仿宋_GB2312"/>
                <w:sz w:val="28"/>
                <w:szCs w:val="28"/>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tcBorders>
              <w:top w:val="single" w:color="auto" w:sz="4" w:space="0"/>
              <w:left w:val="double" w:color="auto" w:sz="2" w:space="0"/>
              <w:bottom w:val="single" w:color="auto" w:sz="4" w:space="0"/>
              <w:right w:val="single" w:color="auto" w:sz="4" w:space="0"/>
            </w:tcBorders>
            <w:shd w:val="clear" w:color="auto" w:fill="auto"/>
          </w:tcPr>
          <w:p>
            <w:pPr>
              <w:autoSpaceDE w:val="0"/>
              <w:spacing w:line="460" w:lineRule="exact"/>
              <w:jc w:val="center"/>
              <w:rPr>
                <w:rFonts w:ascii="仿宋_GB2312" w:eastAsia="仿宋_GB2312"/>
                <w:sz w:val="28"/>
                <w:szCs w:val="28"/>
              </w:rPr>
            </w:pPr>
            <w:r>
              <w:rPr>
                <w:rFonts w:ascii="仿宋_GB2312" w:eastAsia="仿宋_GB2312"/>
                <w:sz w:val="28"/>
                <w:szCs w:val="28"/>
              </w:rPr>
              <w:t>XX届研究生南湖公共问题论坛</w:t>
            </w:r>
          </w:p>
        </w:tc>
        <w:tc>
          <w:tcPr>
            <w:tcW w:w="2750" w:type="dxa"/>
            <w:tcBorders>
              <w:top w:val="single" w:color="auto" w:sz="4" w:space="0"/>
              <w:left w:val="nil"/>
              <w:bottom w:val="single" w:color="auto" w:sz="4" w:space="0"/>
              <w:right w:val="double" w:color="auto" w:sz="2" w:space="0"/>
            </w:tcBorders>
            <w:shd w:val="clear" w:color="auto" w:fill="auto"/>
          </w:tcPr>
          <w:p>
            <w:pPr>
              <w:autoSpaceDE w:val="0"/>
              <w:spacing w:line="460" w:lineRule="exact"/>
              <w:jc w:val="center"/>
              <w:rPr>
                <w:rFonts w:ascii="仿宋_GB2312" w:eastAsia="仿宋_GB2312"/>
                <w:sz w:val="28"/>
                <w:szCs w:val="28"/>
              </w:rPr>
            </w:pPr>
            <w:r>
              <w:rPr>
                <w:rFonts w:ascii="仿宋_GB2312" w:eastAsia="仿宋_GB2312"/>
                <w:sz w:val="28"/>
                <w:szCs w:val="28"/>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tcBorders>
              <w:top w:val="single" w:color="auto" w:sz="4" w:space="0"/>
              <w:left w:val="double" w:color="auto" w:sz="2" w:space="0"/>
              <w:bottom w:val="single" w:color="auto" w:sz="4" w:space="0"/>
              <w:right w:val="single" w:color="auto" w:sz="4" w:space="0"/>
            </w:tcBorders>
            <w:shd w:val="clear" w:color="auto" w:fill="auto"/>
          </w:tcPr>
          <w:p>
            <w:pPr>
              <w:autoSpaceDE w:val="0"/>
              <w:spacing w:line="460" w:lineRule="exact"/>
              <w:jc w:val="center"/>
              <w:rPr>
                <w:rFonts w:ascii="仿宋_GB2312" w:eastAsia="仿宋_GB2312"/>
                <w:sz w:val="28"/>
                <w:szCs w:val="28"/>
              </w:rPr>
            </w:pPr>
            <w:r>
              <w:rPr>
                <w:rFonts w:ascii="仿宋_GB2312" w:eastAsia="仿宋_GB2312"/>
                <w:sz w:val="28"/>
                <w:szCs w:val="28"/>
              </w:rPr>
              <w:t>XX届全国中共党史党建学科点年会</w:t>
            </w:r>
          </w:p>
        </w:tc>
        <w:tc>
          <w:tcPr>
            <w:tcW w:w="2750" w:type="dxa"/>
            <w:tcBorders>
              <w:top w:val="single" w:color="auto" w:sz="4" w:space="0"/>
              <w:left w:val="nil"/>
              <w:bottom w:val="single" w:color="auto" w:sz="4" w:space="0"/>
              <w:right w:val="double" w:color="auto" w:sz="2" w:space="0"/>
            </w:tcBorders>
            <w:shd w:val="clear" w:color="auto" w:fill="auto"/>
          </w:tcPr>
          <w:p>
            <w:pPr>
              <w:autoSpaceDE w:val="0"/>
              <w:spacing w:line="460" w:lineRule="exact"/>
              <w:jc w:val="center"/>
              <w:rPr>
                <w:rFonts w:ascii="仿宋_GB2312" w:eastAsia="仿宋_GB2312"/>
                <w:sz w:val="28"/>
                <w:szCs w:val="28"/>
              </w:rPr>
            </w:pPr>
            <w:r>
              <w:rPr>
                <w:rFonts w:ascii="仿宋_GB2312" w:eastAsia="仿宋_GB2312"/>
                <w:sz w:val="28"/>
                <w:szCs w:val="28"/>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tcBorders>
              <w:top w:val="single" w:color="auto" w:sz="4" w:space="0"/>
              <w:left w:val="double" w:color="auto" w:sz="2" w:space="0"/>
              <w:bottom w:val="single" w:color="auto" w:sz="4" w:space="0"/>
              <w:right w:val="single" w:color="auto" w:sz="4" w:space="0"/>
            </w:tcBorders>
            <w:shd w:val="clear" w:color="auto" w:fill="auto"/>
          </w:tcPr>
          <w:p>
            <w:pPr>
              <w:autoSpaceDE w:val="0"/>
              <w:spacing w:line="460" w:lineRule="exact"/>
              <w:jc w:val="center"/>
              <w:rPr>
                <w:rFonts w:ascii="仿宋_GB2312" w:eastAsia="仿宋_GB2312"/>
                <w:sz w:val="28"/>
                <w:szCs w:val="28"/>
              </w:rPr>
            </w:pPr>
            <w:r>
              <w:rPr>
                <w:rFonts w:hint="eastAsia" w:ascii="仿宋_GB2312" w:eastAsia="仿宋_GB2312"/>
                <w:sz w:val="28"/>
                <w:szCs w:val="28"/>
              </w:rPr>
              <w:t>X</w:t>
            </w:r>
            <w:r>
              <w:rPr>
                <w:rFonts w:ascii="仿宋_GB2312" w:eastAsia="仿宋_GB2312"/>
                <w:sz w:val="28"/>
                <w:szCs w:val="28"/>
              </w:rPr>
              <w:t>X</w:t>
            </w:r>
            <w:r>
              <w:rPr>
                <w:rFonts w:hint="eastAsia" w:ascii="仿宋_GB2312" w:eastAsia="仿宋_GB2312"/>
                <w:sz w:val="28"/>
                <w:szCs w:val="28"/>
              </w:rPr>
              <w:t>省高等学校论坛</w:t>
            </w:r>
          </w:p>
        </w:tc>
        <w:tc>
          <w:tcPr>
            <w:tcW w:w="2750" w:type="dxa"/>
            <w:tcBorders>
              <w:top w:val="single" w:color="auto" w:sz="4" w:space="0"/>
              <w:left w:val="nil"/>
              <w:bottom w:val="single" w:color="auto" w:sz="4" w:space="0"/>
              <w:right w:val="double" w:color="auto" w:sz="2" w:space="0"/>
            </w:tcBorders>
            <w:shd w:val="clear" w:color="auto" w:fill="auto"/>
          </w:tcPr>
          <w:p>
            <w:pPr>
              <w:autoSpaceDE w:val="0"/>
              <w:spacing w:line="460" w:lineRule="exact"/>
              <w:jc w:val="center"/>
              <w:rPr>
                <w:rFonts w:ascii="仿宋_GB2312" w:eastAsia="仿宋_GB2312"/>
                <w:sz w:val="28"/>
                <w:szCs w:val="28"/>
              </w:rPr>
            </w:pPr>
            <w:r>
              <w:rPr>
                <w:rFonts w:hint="eastAsia" w:ascii="仿宋_GB2312" w:eastAsia="仿宋_GB2312"/>
                <w:sz w:val="28"/>
                <w:szCs w:val="28"/>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tcBorders>
              <w:top w:val="single" w:color="auto" w:sz="4" w:space="0"/>
              <w:left w:val="double" w:color="auto" w:sz="2" w:space="0"/>
              <w:bottom w:val="single" w:color="auto" w:sz="4" w:space="0"/>
              <w:right w:val="single" w:color="auto" w:sz="4" w:space="0"/>
            </w:tcBorders>
            <w:shd w:val="clear" w:color="auto" w:fill="auto"/>
          </w:tcPr>
          <w:p>
            <w:pPr>
              <w:autoSpaceDE w:val="0"/>
              <w:spacing w:line="460" w:lineRule="exact"/>
              <w:jc w:val="center"/>
              <w:rPr>
                <w:rFonts w:ascii="仿宋_GB2312" w:eastAsia="仿宋_GB2312"/>
                <w:sz w:val="28"/>
                <w:szCs w:val="28"/>
              </w:rPr>
            </w:pPr>
            <w:r>
              <w:rPr>
                <w:rFonts w:hint="eastAsia" w:ascii="仿宋_GB2312" w:eastAsia="仿宋_GB2312"/>
                <w:sz w:val="28"/>
                <w:szCs w:val="28"/>
              </w:rPr>
              <w:t>X</w:t>
            </w:r>
            <w:r>
              <w:rPr>
                <w:rFonts w:ascii="仿宋_GB2312" w:eastAsia="仿宋_GB2312"/>
                <w:sz w:val="28"/>
                <w:szCs w:val="28"/>
              </w:rPr>
              <w:t>X</w:t>
            </w:r>
            <w:r>
              <w:rPr>
                <w:rFonts w:hint="eastAsia" w:ascii="仿宋_GB2312" w:eastAsia="仿宋_GB2312"/>
                <w:sz w:val="28"/>
                <w:szCs w:val="28"/>
              </w:rPr>
              <w:t>省创新论坛</w:t>
            </w:r>
          </w:p>
        </w:tc>
        <w:tc>
          <w:tcPr>
            <w:tcW w:w="2750" w:type="dxa"/>
            <w:tcBorders>
              <w:top w:val="single" w:color="auto" w:sz="4" w:space="0"/>
              <w:left w:val="nil"/>
              <w:bottom w:val="single" w:color="auto" w:sz="4" w:space="0"/>
              <w:right w:val="double" w:color="auto" w:sz="2" w:space="0"/>
            </w:tcBorders>
            <w:shd w:val="clear" w:color="auto" w:fill="auto"/>
          </w:tcPr>
          <w:p>
            <w:pPr>
              <w:autoSpaceDE w:val="0"/>
              <w:spacing w:line="460" w:lineRule="exact"/>
              <w:jc w:val="center"/>
              <w:rPr>
                <w:rFonts w:ascii="仿宋_GB2312" w:eastAsia="仿宋_GB2312"/>
                <w:sz w:val="28"/>
                <w:szCs w:val="28"/>
              </w:rPr>
            </w:pPr>
            <w:r>
              <w:rPr>
                <w:rFonts w:hint="eastAsia" w:ascii="仿宋_GB2312" w:eastAsia="仿宋_GB2312"/>
                <w:sz w:val="28"/>
                <w:szCs w:val="28"/>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tcBorders>
              <w:top w:val="single" w:color="auto" w:sz="4" w:space="0"/>
              <w:left w:val="double" w:color="auto" w:sz="2" w:space="0"/>
              <w:bottom w:val="single" w:color="auto" w:sz="4" w:space="0"/>
              <w:right w:val="single" w:color="auto" w:sz="4" w:space="0"/>
            </w:tcBorders>
            <w:shd w:val="clear" w:color="auto" w:fill="auto"/>
          </w:tcPr>
          <w:p>
            <w:pPr>
              <w:autoSpaceDE w:val="0"/>
              <w:spacing w:line="460" w:lineRule="exact"/>
              <w:jc w:val="center"/>
              <w:rPr>
                <w:rFonts w:ascii="仿宋_GB2312" w:eastAsia="仿宋_GB2312"/>
                <w:sz w:val="28"/>
                <w:szCs w:val="28"/>
              </w:rPr>
            </w:pPr>
            <w:r>
              <w:rPr>
                <w:rFonts w:hint="eastAsia" w:ascii="仿宋_GB2312" w:eastAsia="仿宋_GB2312"/>
                <w:sz w:val="28"/>
                <w:szCs w:val="28"/>
              </w:rPr>
              <w:t>X</w:t>
            </w:r>
            <w:r>
              <w:rPr>
                <w:rFonts w:ascii="仿宋_GB2312" w:eastAsia="仿宋_GB2312"/>
                <w:sz w:val="28"/>
                <w:szCs w:val="28"/>
              </w:rPr>
              <w:t>X</w:t>
            </w:r>
            <w:r>
              <w:rPr>
                <w:rFonts w:hint="eastAsia" w:ascii="仿宋_GB2312" w:eastAsia="仿宋_GB2312"/>
                <w:sz w:val="28"/>
                <w:szCs w:val="28"/>
              </w:rPr>
              <w:t>届立马万言导航杯</w:t>
            </w:r>
          </w:p>
        </w:tc>
        <w:tc>
          <w:tcPr>
            <w:tcW w:w="2750" w:type="dxa"/>
            <w:tcBorders>
              <w:top w:val="single" w:color="auto" w:sz="4" w:space="0"/>
              <w:left w:val="nil"/>
              <w:bottom w:val="single" w:color="auto" w:sz="4" w:space="0"/>
              <w:right w:val="double" w:color="auto" w:sz="2" w:space="0"/>
            </w:tcBorders>
            <w:shd w:val="clear" w:color="auto" w:fill="auto"/>
          </w:tcPr>
          <w:p>
            <w:pPr>
              <w:autoSpaceDE w:val="0"/>
              <w:spacing w:line="460" w:lineRule="exact"/>
              <w:jc w:val="center"/>
              <w:rPr>
                <w:rFonts w:ascii="仿宋_GB2312" w:eastAsia="仿宋_GB2312"/>
                <w:sz w:val="28"/>
                <w:szCs w:val="28"/>
              </w:rPr>
            </w:pPr>
            <w:r>
              <w:rPr>
                <w:rFonts w:hint="eastAsia" w:ascii="仿宋_GB2312" w:eastAsia="仿宋_GB2312"/>
                <w:sz w:val="28"/>
                <w:szCs w:val="28"/>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tcBorders>
              <w:top w:val="single" w:color="auto" w:sz="4" w:space="0"/>
              <w:left w:val="double" w:color="auto" w:sz="2" w:space="0"/>
              <w:bottom w:val="single" w:color="auto" w:sz="4" w:space="0"/>
              <w:right w:val="single" w:color="auto" w:sz="4" w:space="0"/>
            </w:tcBorders>
            <w:shd w:val="clear" w:color="auto" w:fill="auto"/>
          </w:tcPr>
          <w:p>
            <w:pPr>
              <w:autoSpaceDE w:val="0"/>
              <w:spacing w:line="460" w:lineRule="exact"/>
              <w:jc w:val="center"/>
              <w:rPr>
                <w:rFonts w:ascii="仿宋_GB2312" w:eastAsia="仿宋_GB2312"/>
                <w:sz w:val="28"/>
                <w:szCs w:val="28"/>
              </w:rPr>
            </w:pPr>
            <w:r>
              <w:rPr>
                <w:rFonts w:hint="eastAsia" w:ascii="仿宋_GB2312" w:eastAsia="仿宋_GB2312"/>
                <w:sz w:val="28"/>
                <w:szCs w:val="28"/>
              </w:rPr>
              <w:t>湖北省统一战线X</w:t>
            </w:r>
            <w:r>
              <w:rPr>
                <w:rFonts w:ascii="仿宋_GB2312" w:eastAsia="仿宋_GB2312"/>
                <w:sz w:val="28"/>
                <w:szCs w:val="28"/>
              </w:rPr>
              <w:t>X</w:t>
            </w:r>
            <w:r>
              <w:rPr>
                <w:rFonts w:hint="eastAsia" w:ascii="仿宋_GB2312" w:eastAsia="仿宋_GB2312"/>
                <w:sz w:val="28"/>
                <w:szCs w:val="28"/>
              </w:rPr>
              <w:t>年年会</w:t>
            </w:r>
          </w:p>
        </w:tc>
        <w:tc>
          <w:tcPr>
            <w:tcW w:w="2750" w:type="dxa"/>
            <w:tcBorders>
              <w:top w:val="single" w:color="auto" w:sz="4" w:space="0"/>
              <w:left w:val="nil"/>
              <w:bottom w:val="single" w:color="auto" w:sz="4" w:space="0"/>
              <w:right w:val="double" w:color="auto" w:sz="2" w:space="0"/>
            </w:tcBorders>
            <w:shd w:val="clear" w:color="auto" w:fill="auto"/>
          </w:tcPr>
          <w:p>
            <w:pPr>
              <w:autoSpaceDE w:val="0"/>
              <w:spacing w:line="460" w:lineRule="exact"/>
              <w:jc w:val="center"/>
              <w:rPr>
                <w:rFonts w:ascii="仿宋_GB2312" w:eastAsia="仿宋_GB2312"/>
                <w:sz w:val="28"/>
                <w:szCs w:val="28"/>
              </w:rPr>
            </w:pPr>
            <w:r>
              <w:rPr>
                <w:rFonts w:hint="eastAsia" w:ascii="仿宋_GB2312" w:eastAsia="仿宋_GB2312"/>
                <w:sz w:val="28"/>
                <w:szCs w:val="28"/>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tcBorders>
              <w:top w:val="single" w:color="auto" w:sz="4" w:space="0"/>
              <w:left w:val="double" w:color="auto" w:sz="2" w:space="0"/>
              <w:bottom w:val="single" w:color="auto" w:sz="4" w:space="0"/>
              <w:right w:val="single" w:color="auto" w:sz="4" w:space="0"/>
            </w:tcBorders>
            <w:shd w:val="clear" w:color="auto" w:fill="auto"/>
          </w:tcPr>
          <w:p>
            <w:pPr>
              <w:autoSpaceDE w:val="0"/>
              <w:spacing w:line="460" w:lineRule="exact"/>
              <w:jc w:val="center"/>
              <w:rPr>
                <w:rFonts w:ascii="仿宋_GB2312" w:eastAsia="仿宋_GB2312"/>
                <w:sz w:val="28"/>
                <w:szCs w:val="28"/>
              </w:rPr>
            </w:pPr>
            <w:r>
              <w:rPr>
                <w:rFonts w:hint="eastAsia" w:ascii="仿宋_GB2312" w:eastAsia="仿宋_GB2312"/>
                <w:sz w:val="28"/>
                <w:szCs w:val="28"/>
              </w:rPr>
              <w:t>湖北省法学经济学XX年年会</w:t>
            </w:r>
          </w:p>
        </w:tc>
        <w:tc>
          <w:tcPr>
            <w:tcW w:w="2750" w:type="dxa"/>
            <w:tcBorders>
              <w:top w:val="single" w:color="auto" w:sz="4" w:space="0"/>
              <w:left w:val="nil"/>
              <w:bottom w:val="single" w:color="auto" w:sz="4" w:space="0"/>
              <w:right w:val="double" w:color="auto" w:sz="2" w:space="0"/>
            </w:tcBorders>
            <w:shd w:val="clear" w:color="auto" w:fill="auto"/>
          </w:tcPr>
          <w:p>
            <w:pPr>
              <w:autoSpaceDE w:val="0"/>
              <w:spacing w:line="460" w:lineRule="exact"/>
              <w:jc w:val="center"/>
              <w:rPr>
                <w:rFonts w:ascii="仿宋_GB2312" w:eastAsia="仿宋_GB2312"/>
                <w:sz w:val="28"/>
                <w:szCs w:val="28"/>
              </w:rPr>
            </w:pPr>
            <w:r>
              <w:rPr>
                <w:rFonts w:hint="eastAsia" w:ascii="仿宋_GB2312" w:eastAsia="仿宋_GB2312"/>
                <w:sz w:val="28"/>
                <w:szCs w:val="28"/>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tcBorders>
              <w:top w:val="single" w:color="auto" w:sz="4" w:space="0"/>
              <w:left w:val="double" w:color="auto" w:sz="2" w:space="0"/>
              <w:bottom w:val="single" w:color="auto" w:sz="4" w:space="0"/>
              <w:right w:val="single" w:color="auto" w:sz="4" w:space="0"/>
            </w:tcBorders>
            <w:shd w:val="clear" w:color="auto" w:fill="auto"/>
          </w:tcPr>
          <w:p>
            <w:pPr>
              <w:autoSpaceDE w:val="0"/>
              <w:spacing w:line="460" w:lineRule="exact"/>
              <w:jc w:val="center"/>
              <w:rPr>
                <w:rFonts w:ascii="仿宋_GB2312" w:eastAsia="仿宋_GB2312"/>
                <w:sz w:val="28"/>
                <w:szCs w:val="28"/>
              </w:rPr>
            </w:pPr>
            <w:r>
              <w:rPr>
                <w:rFonts w:ascii="仿宋_GB2312" w:eastAsia="仿宋_GB2312"/>
                <w:sz w:val="28"/>
                <w:szCs w:val="28"/>
              </w:rPr>
              <w:t>湖北省科学技术史学会XX年年会</w:t>
            </w:r>
          </w:p>
        </w:tc>
        <w:tc>
          <w:tcPr>
            <w:tcW w:w="2750" w:type="dxa"/>
            <w:tcBorders>
              <w:top w:val="single" w:color="auto" w:sz="4" w:space="0"/>
              <w:left w:val="nil"/>
              <w:bottom w:val="single" w:color="auto" w:sz="4" w:space="0"/>
              <w:right w:val="double" w:color="auto" w:sz="2" w:space="0"/>
            </w:tcBorders>
            <w:shd w:val="clear" w:color="auto" w:fill="auto"/>
          </w:tcPr>
          <w:p>
            <w:pPr>
              <w:autoSpaceDE w:val="0"/>
              <w:spacing w:line="460" w:lineRule="exact"/>
              <w:jc w:val="center"/>
              <w:rPr>
                <w:rFonts w:ascii="仿宋_GB2312" w:eastAsia="仿宋_GB2312"/>
                <w:sz w:val="28"/>
                <w:szCs w:val="28"/>
              </w:rPr>
            </w:pPr>
            <w:r>
              <w:rPr>
                <w:rFonts w:ascii="仿宋_GB2312" w:eastAsia="仿宋_GB2312"/>
                <w:sz w:val="28"/>
                <w:szCs w:val="28"/>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tcBorders>
              <w:top w:val="single" w:color="auto" w:sz="4" w:space="0"/>
              <w:left w:val="double" w:color="auto" w:sz="2" w:space="0"/>
              <w:bottom w:val="single" w:color="auto" w:sz="4" w:space="0"/>
              <w:right w:val="single" w:color="auto" w:sz="4" w:space="0"/>
            </w:tcBorders>
            <w:shd w:val="clear" w:color="auto" w:fill="auto"/>
          </w:tcPr>
          <w:p>
            <w:pPr>
              <w:autoSpaceDE w:val="0"/>
              <w:spacing w:line="460" w:lineRule="exact"/>
              <w:jc w:val="center"/>
              <w:rPr>
                <w:rFonts w:ascii="仿宋_GB2312" w:eastAsia="仿宋_GB2312"/>
                <w:sz w:val="28"/>
                <w:szCs w:val="28"/>
              </w:rPr>
            </w:pPr>
            <w:r>
              <w:rPr>
                <w:rFonts w:hint="eastAsia" w:ascii="仿宋_GB2312" w:eastAsia="仿宋_GB2312"/>
                <w:sz w:val="28"/>
                <w:szCs w:val="28"/>
              </w:rPr>
              <w:t>XX届全国科技文化与社会现代化学术研讨会</w:t>
            </w:r>
            <w:r>
              <w:rPr>
                <w:rFonts w:hint="eastAsia" w:ascii="仿宋_GB2312" w:eastAsia="仿宋_GB2312"/>
                <w:sz w:val="28"/>
                <w:szCs w:val="28"/>
              </w:rPr>
              <w:tab/>
            </w:r>
          </w:p>
        </w:tc>
        <w:tc>
          <w:tcPr>
            <w:tcW w:w="2750" w:type="dxa"/>
            <w:tcBorders>
              <w:top w:val="single" w:color="auto" w:sz="4" w:space="0"/>
              <w:left w:val="nil"/>
              <w:bottom w:val="single" w:color="auto" w:sz="4" w:space="0"/>
              <w:right w:val="double" w:color="auto" w:sz="2" w:space="0"/>
            </w:tcBorders>
            <w:shd w:val="clear" w:color="auto" w:fill="auto"/>
          </w:tcPr>
          <w:p>
            <w:pPr>
              <w:autoSpaceDE w:val="0"/>
              <w:spacing w:line="460" w:lineRule="exact"/>
              <w:jc w:val="center"/>
              <w:rPr>
                <w:rFonts w:ascii="仿宋_GB2312" w:eastAsia="仿宋_GB2312"/>
                <w:sz w:val="28"/>
                <w:szCs w:val="28"/>
              </w:rPr>
            </w:pPr>
            <w:r>
              <w:rPr>
                <w:rFonts w:hint="eastAsia" w:ascii="仿宋_GB2312" w:eastAsia="仿宋_GB2312"/>
                <w:sz w:val="28"/>
                <w:szCs w:val="28"/>
              </w:rPr>
              <w:t>校级</w:t>
            </w:r>
          </w:p>
        </w:tc>
      </w:tr>
    </w:tbl>
    <w:p>
      <w:pPr>
        <w:autoSpaceDE w:val="0"/>
        <w:spacing w:line="460" w:lineRule="exact"/>
        <w:rPr>
          <w:szCs w:val="21"/>
        </w:rPr>
      </w:pPr>
    </w:p>
    <w:p>
      <w:pPr>
        <w:spacing w:line="460" w:lineRule="exact"/>
        <w:ind w:firstLine="560" w:firstLineChars="200"/>
        <w:rPr>
          <w:rFonts w:ascii="仿宋" w:hAnsi="仿宋" w:eastAsia="仿宋"/>
          <w:sz w:val="28"/>
          <w:szCs w:val="28"/>
        </w:rPr>
      </w:pPr>
      <w:r>
        <w:rPr>
          <w:rFonts w:hint="eastAsia" w:ascii="仿宋" w:hAnsi="仿宋" w:eastAsia="仿宋"/>
          <w:sz w:val="28"/>
          <w:szCs w:val="28"/>
        </w:rPr>
        <w:t>以上各类学术会议等级评定均需与本学科相关，按落款单位评定，且提供相关证明（证书）复印件，如有异议，由学院评审委员会最终认定。</w:t>
      </w:r>
    </w:p>
    <w:p>
      <w:pPr>
        <w:spacing w:line="460" w:lineRule="exact"/>
        <w:ind w:firstLine="560" w:firstLineChars="200"/>
        <w:rPr>
          <w:rFonts w:ascii="仿宋" w:hAnsi="仿宋" w:eastAsia="仿宋"/>
          <w:sz w:val="28"/>
          <w:szCs w:val="28"/>
        </w:rPr>
      </w:pPr>
    </w:p>
    <w:p>
      <w:pPr>
        <w:spacing w:line="460" w:lineRule="exact"/>
      </w:pPr>
      <w:r>
        <w:rPr>
          <w:rFonts w:hint="eastAsia" w:ascii="仿宋" w:hAnsi="仿宋" w:eastAsia="仿宋"/>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h8b5M8YBAACKAwAADgAAAAAAAAABACAAAAAfAQAAZHJzL2Uyb0RvYy54&#10;bWxQSwUGAAAAAAYABgBZAQAAVw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AD908"/>
    <w:multiLevelType w:val="singleLevel"/>
    <w:tmpl w:val="39EAD908"/>
    <w:lvl w:ilvl="0" w:tentative="0">
      <w:start w:val="1"/>
      <w:numFmt w:val="decimal"/>
      <w:suff w:val="nothing"/>
      <w:lvlText w:val="（%1）"/>
      <w:lvlJc w:val="left"/>
    </w:lvl>
  </w:abstractNum>
  <w:abstractNum w:abstractNumId="1">
    <w:nsid w:val="7E4B53E2"/>
    <w:multiLevelType w:val="singleLevel"/>
    <w:tmpl w:val="7E4B53E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MjJmODg0M2FlODQ0MmE0MDFmYzMyMzZmMzY0NDgifQ=="/>
    <w:docVar w:name="KSO_WPS_MARK_KEY" w:val="9919370a-f2ac-46f7-8c0f-591c6ad08b52"/>
  </w:docVars>
  <w:rsids>
    <w:rsidRoot w:val="007D7D0F"/>
    <w:rsid w:val="00026E79"/>
    <w:rsid w:val="0004711D"/>
    <w:rsid w:val="00130337"/>
    <w:rsid w:val="00173C99"/>
    <w:rsid w:val="00195826"/>
    <w:rsid w:val="00210A49"/>
    <w:rsid w:val="00263433"/>
    <w:rsid w:val="00270332"/>
    <w:rsid w:val="00285085"/>
    <w:rsid w:val="002E1149"/>
    <w:rsid w:val="002E7C24"/>
    <w:rsid w:val="00312672"/>
    <w:rsid w:val="003970D4"/>
    <w:rsid w:val="00454F6D"/>
    <w:rsid w:val="0046235A"/>
    <w:rsid w:val="004955E0"/>
    <w:rsid w:val="00511C4A"/>
    <w:rsid w:val="00511EE8"/>
    <w:rsid w:val="005D57EE"/>
    <w:rsid w:val="00690AA6"/>
    <w:rsid w:val="00711EF5"/>
    <w:rsid w:val="00716669"/>
    <w:rsid w:val="007D629B"/>
    <w:rsid w:val="007D7D0F"/>
    <w:rsid w:val="007E6789"/>
    <w:rsid w:val="00807182"/>
    <w:rsid w:val="008543E0"/>
    <w:rsid w:val="008D7A9F"/>
    <w:rsid w:val="009117C6"/>
    <w:rsid w:val="00934837"/>
    <w:rsid w:val="00940DA2"/>
    <w:rsid w:val="00966849"/>
    <w:rsid w:val="009A6E7F"/>
    <w:rsid w:val="009B6EFF"/>
    <w:rsid w:val="009D78F5"/>
    <w:rsid w:val="00A00254"/>
    <w:rsid w:val="00A35C57"/>
    <w:rsid w:val="00A7729C"/>
    <w:rsid w:val="00AE3270"/>
    <w:rsid w:val="00B74603"/>
    <w:rsid w:val="00BA627A"/>
    <w:rsid w:val="00BC6671"/>
    <w:rsid w:val="00C90EC6"/>
    <w:rsid w:val="00CD1F2C"/>
    <w:rsid w:val="00E60900"/>
    <w:rsid w:val="00E80E02"/>
    <w:rsid w:val="00ED2107"/>
    <w:rsid w:val="00ED3589"/>
    <w:rsid w:val="00EF5EA9"/>
    <w:rsid w:val="00F55938"/>
    <w:rsid w:val="0167398B"/>
    <w:rsid w:val="02DF39F5"/>
    <w:rsid w:val="03095650"/>
    <w:rsid w:val="05250A13"/>
    <w:rsid w:val="05CA5AE8"/>
    <w:rsid w:val="0620235A"/>
    <w:rsid w:val="09BB733E"/>
    <w:rsid w:val="0B26626F"/>
    <w:rsid w:val="0BB75A24"/>
    <w:rsid w:val="0DF93BBD"/>
    <w:rsid w:val="126E4C4C"/>
    <w:rsid w:val="14E73560"/>
    <w:rsid w:val="18E5190D"/>
    <w:rsid w:val="18ED2570"/>
    <w:rsid w:val="192D7DB2"/>
    <w:rsid w:val="1A352566"/>
    <w:rsid w:val="1F0343F7"/>
    <w:rsid w:val="22883309"/>
    <w:rsid w:val="25D326E0"/>
    <w:rsid w:val="26533F43"/>
    <w:rsid w:val="2B2341F4"/>
    <w:rsid w:val="2D8A6187"/>
    <w:rsid w:val="2DBF27E9"/>
    <w:rsid w:val="301237DC"/>
    <w:rsid w:val="355E6877"/>
    <w:rsid w:val="36A738BE"/>
    <w:rsid w:val="384F06F9"/>
    <w:rsid w:val="3957676B"/>
    <w:rsid w:val="39FF1CAB"/>
    <w:rsid w:val="3DA236B6"/>
    <w:rsid w:val="40692574"/>
    <w:rsid w:val="45A04342"/>
    <w:rsid w:val="477041E8"/>
    <w:rsid w:val="486B6EDA"/>
    <w:rsid w:val="49E61ADC"/>
    <w:rsid w:val="4E994025"/>
    <w:rsid w:val="4EED611E"/>
    <w:rsid w:val="5343246D"/>
    <w:rsid w:val="54EC4B61"/>
    <w:rsid w:val="57435F51"/>
    <w:rsid w:val="57EF1159"/>
    <w:rsid w:val="5842572D"/>
    <w:rsid w:val="58920462"/>
    <w:rsid w:val="58C15050"/>
    <w:rsid w:val="59154BEF"/>
    <w:rsid w:val="5A5B2AD6"/>
    <w:rsid w:val="5ABF06F5"/>
    <w:rsid w:val="5B24736C"/>
    <w:rsid w:val="5C2A584F"/>
    <w:rsid w:val="5CA42512"/>
    <w:rsid w:val="5E7D59DA"/>
    <w:rsid w:val="61834DEC"/>
    <w:rsid w:val="63236202"/>
    <w:rsid w:val="6E2214E9"/>
    <w:rsid w:val="6FCC5BB0"/>
    <w:rsid w:val="70D262AB"/>
    <w:rsid w:val="7214383E"/>
    <w:rsid w:val="73AA6208"/>
    <w:rsid w:val="769D1FEF"/>
    <w:rsid w:val="77DC4DFE"/>
    <w:rsid w:val="780B56E4"/>
    <w:rsid w:val="7D584F27"/>
    <w:rsid w:val="7DCE51E9"/>
    <w:rsid w:val="7E631DD5"/>
    <w:rsid w:val="7F797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Lines="200" w:line="360" w:lineRule="auto"/>
      <w:jc w:val="left"/>
      <w:outlineLvl w:val="0"/>
    </w:pPr>
    <w:rPr>
      <w:rFonts w:ascii="等线" w:hAnsi="等线" w:eastAsia="黑体"/>
      <w:kern w:val="44"/>
      <w:sz w:val="28"/>
    </w:rPr>
  </w:style>
  <w:style w:type="paragraph" w:styleId="3">
    <w:name w:val="heading 2"/>
    <w:basedOn w:val="1"/>
    <w:next w:val="1"/>
    <w:link w:val="12"/>
    <w:unhideWhenUsed/>
    <w:qFormat/>
    <w:uiPriority w:val="9"/>
    <w:pPr>
      <w:keepNext/>
      <w:keepLines/>
      <w:spacing w:before="240" w:after="240" w:line="480" w:lineRule="exact"/>
      <w:outlineLvl w:val="1"/>
    </w:pPr>
    <w:rPr>
      <w:rFonts w:eastAsia="仿宋_GB2312"/>
      <w:b/>
      <w:bCs/>
      <w:sz w:val="32"/>
      <w:szCs w:val="32"/>
    </w:rPr>
  </w:style>
  <w:style w:type="paragraph" w:styleId="4">
    <w:name w:val="heading 4"/>
    <w:basedOn w:val="5"/>
    <w:next w:val="1"/>
    <w:semiHidden/>
    <w:unhideWhenUsed/>
    <w:qFormat/>
    <w:uiPriority w:val="9"/>
    <w:pPr>
      <w:spacing w:beforeAutospacing="1" w:afterAutospacing="1" w:line="360" w:lineRule="auto"/>
      <w:ind w:firstLine="567" w:firstLineChars="0"/>
      <w:outlineLvl w:val="3"/>
    </w:pPr>
    <w:rPr>
      <w:rFonts w:hint="eastAsia" w:ascii="仿宋" w:hAnsi="仿宋" w:eastAsia="仿宋"/>
      <w:b/>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5">
    <w:name w:val="列出段落1"/>
    <w:basedOn w:val="1"/>
    <w:qFormat/>
    <w:uiPriority w:val="0"/>
    <w:pPr>
      <w:ind w:firstLine="420" w:firstLineChars="200"/>
    </w:pPr>
    <w:rPr>
      <w:szCs w:val="21"/>
    </w:rPr>
  </w:style>
  <w:style w:type="paragraph" w:styleId="6">
    <w:name w:val="annotation text"/>
    <w:basedOn w:val="1"/>
    <w:qFormat/>
    <w:uiPriority w:val="99"/>
    <w:pPr>
      <w:jc w:val="left"/>
    </w:p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basedOn w:val="10"/>
    <w:link w:val="2"/>
    <w:qFormat/>
    <w:uiPriority w:val="0"/>
    <w:rPr>
      <w:rFonts w:eastAsia="黑体" w:cs="Times New Roman"/>
      <w:kern w:val="44"/>
      <w:sz w:val="28"/>
      <w:szCs w:val="24"/>
    </w:rPr>
  </w:style>
  <w:style w:type="character" w:customStyle="1" w:styleId="12">
    <w:name w:val="标题 2 Char"/>
    <w:basedOn w:val="10"/>
    <w:link w:val="3"/>
    <w:qFormat/>
    <w:uiPriority w:val="0"/>
    <w:rPr>
      <w:rFonts w:ascii="Times New Roman" w:hAnsi="Times New Roman" w:eastAsia="仿宋_GB2312" w:cs="Times New Roman"/>
      <w:b/>
      <w:bCs/>
      <w:sz w:val="32"/>
      <w:szCs w:val="32"/>
    </w:rPr>
  </w:style>
  <w:style w:type="character" w:customStyle="1" w:styleId="13">
    <w:name w:val="页眉 Char"/>
    <w:basedOn w:val="10"/>
    <w:link w:val="8"/>
    <w:qFormat/>
    <w:uiPriority w:val="99"/>
    <w:rPr>
      <w:rFonts w:ascii="Times New Roman" w:hAnsi="Times New Roman" w:eastAsia="宋体" w:cs="Times New Roman"/>
      <w:sz w:val="18"/>
      <w:szCs w:val="18"/>
    </w:rPr>
  </w:style>
  <w:style w:type="character" w:customStyle="1" w:styleId="14">
    <w:name w:val="页脚 Char"/>
    <w:basedOn w:val="10"/>
    <w:link w:val="7"/>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FC792F-BCB1-421A-AECF-B9149A4B82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9473</Words>
  <Characters>9684</Characters>
  <Lines>73</Lines>
  <Paragraphs>20</Paragraphs>
  <TotalTime>14</TotalTime>
  <ScaleCrop>false</ScaleCrop>
  <LinksUpToDate>false</LinksUpToDate>
  <CharactersWithSpaces>9999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2023-02-20T02:38:00Z</dcterms:created>
  <dc:creator>admin</dc:creator>
  <cp:lastModifiedBy>邮差</cp:lastModifiedBy>
  <cp:lastPrinted>2021-05-11T01:49:00Z</cp:lastPrinted>
  <dcterms:modified xsi:type="dcterms:W3CDTF">2023-03-22T03:32:14Z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192E6DC065584E168ED1D965C1CC080C</vt:lpwstr>
  </property>
</Properties>
</file>