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《哲学史》（编号938）考试大纲（202</w:t>
      </w:r>
      <w:r>
        <w:rPr>
          <w:b/>
          <w:bCs/>
          <w:sz w:val="40"/>
          <w:szCs w:val="40"/>
        </w:rPr>
        <w:t>2</w:t>
      </w:r>
      <w:r>
        <w:rPr>
          <w:rFonts w:hint="eastAsia"/>
          <w:b/>
          <w:bCs/>
          <w:sz w:val="40"/>
          <w:szCs w:val="40"/>
        </w:rPr>
        <w:t>年）</w:t>
      </w:r>
    </w:p>
    <w:p>
      <w:pPr>
        <w:rPr>
          <w:rFonts w:hint="eastAsia"/>
          <w:b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91" w:firstLineChars="1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第一部分 考试说明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一、考试性质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《哲学史》是我校为招收哲学专业的硕士研究生而设置的考试科目。考试的评价标准是高等学校哲学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本科或相关专业本科</w:t>
      </w:r>
      <w:r>
        <w:rPr>
          <w:rFonts w:hint="eastAsia" w:ascii="宋体" w:hAnsi="宋体" w:eastAsia="宋体" w:cs="宋体"/>
          <w:sz w:val="24"/>
          <w:szCs w:val="24"/>
        </w:rPr>
        <w:t>优秀毕业生所能达到的水平。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二、考试的学科范围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应考范围包括：（一）中国哲学史；（二）西方哲学史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三、评价目标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哲学史是哲学及相关专业的基础学科知识，本课程的考试旨在考查考生是否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掌握</w:t>
      </w:r>
      <w:r>
        <w:rPr>
          <w:rFonts w:hint="eastAsia" w:ascii="宋体" w:hAnsi="宋体" w:eastAsia="宋体" w:cs="宋体"/>
          <w:kern w:val="2"/>
          <w:sz w:val="24"/>
          <w:szCs w:val="24"/>
        </w:rPr>
        <w:t>中、西方哲学思想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演变</w:t>
      </w:r>
      <w:r>
        <w:rPr>
          <w:rFonts w:hint="eastAsia" w:ascii="宋体" w:hAnsi="宋体" w:eastAsia="宋体" w:cs="宋体"/>
          <w:kern w:val="2"/>
          <w:sz w:val="24"/>
          <w:szCs w:val="24"/>
        </w:rPr>
        <w:t>的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线索、进程</w:t>
      </w:r>
      <w:r>
        <w:rPr>
          <w:rFonts w:hint="eastAsia" w:ascii="宋体" w:hAnsi="宋体" w:eastAsia="宋体" w:cs="宋体"/>
          <w:kern w:val="2"/>
          <w:sz w:val="24"/>
          <w:szCs w:val="24"/>
        </w:rPr>
        <w:t>及其发展规律，考查考生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是否具备基本的哲学知识和</w:t>
      </w:r>
      <w:r>
        <w:rPr>
          <w:rFonts w:hint="eastAsia" w:ascii="宋体" w:hAnsi="宋体" w:eastAsia="宋体" w:cs="宋体"/>
          <w:kern w:val="2"/>
          <w:sz w:val="24"/>
          <w:szCs w:val="24"/>
        </w:rPr>
        <w:t>理论素养。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四、考试形式与试卷结构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(一) 答卷方式:闭卷,笔试;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(二) 答题时间:180分钟;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五、参考书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冯达文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郭齐勇主编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新编中国哲学史（上、下册），人民出版社，2017年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邓晓芒、赵林 著，《西方哲学史》（修订版），高等教育出版社2014年版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9" w:firstLineChars="10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第二部分 《中国哲学史》考查要点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一、孔子的哲学思想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1.“与命与仁”的观念结构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2.“为仁由己”的道德哲学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3.“为政以德”的治国之道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二、老子的哲学思想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1.以“道”为终极本源的宇宙论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2.“反者道之动”与经验世界的辩证展示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3.由宇宙论开出的人生观和政治论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孟子的哲学思想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孟子依“不忍人之心”确立的性善论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孟子“存心养性”的道德修养学说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孟子以“仁心”行仁政的治国理想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四、庄子的哲学思想</w:t>
      </w:r>
    </w:p>
    <w:p>
      <w:pPr>
        <w:pStyle w:val="7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庄子的“齐物论”</w:t>
      </w:r>
    </w:p>
    <w:p>
      <w:pPr>
        <w:pStyle w:val="7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庄子的“道通为一”说</w:t>
      </w:r>
    </w:p>
    <w:p>
      <w:pPr>
        <w:pStyle w:val="7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庄子的“逍遥游”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五、朱熹的理学</w:t>
      </w:r>
    </w:p>
    <w:p>
      <w:pPr>
        <w:pStyle w:val="7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理气论</w:t>
      </w:r>
    </w:p>
    <w:p>
      <w:pPr>
        <w:pStyle w:val="7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心性论</w:t>
      </w:r>
    </w:p>
    <w:p>
      <w:pPr>
        <w:pStyle w:val="7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居敬穷理论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六、王守仁的心学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1.“心即理”说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2.“知行合一”说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3.良知与“致良知”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七、王夫之的哲学思想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1.“太虚一实”、“理依于气”的宇宙观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2.“天地之化日新”的变化发展观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3.“日生日成”的人性论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八、康有为的哲学思想</w:t>
      </w:r>
    </w:p>
    <w:p>
      <w:pPr>
        <w:pStyle w:val="7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具有近代特点的“元气”说</w:t>
      </w:r>
    </w:p>
    <w:p>
      <w:pPr>
        <w:pStyle w:val="7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强调“全变”的进化论</w:t>
      </w:r>
    </w:p>
    <w:p>
      <w:pPr>
        <w:pStyle w:val="7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“三世进化”的历史观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九、谭嗣同的哲学思想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1.“以太”即“仁”的自然观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2.“冲决网罗”的历史观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十、章太炎的哲学思想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1.早期的自然观和认识论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2.从科学进化论到俱分进化论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3.后期“自贵其心”的无神论新宗教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650" w:firstLineChars="11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《西方哲学史》考查要点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hanging="720" w:hanging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第一章古希腊罗马哲学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第一节概论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希腊哲学产生的背景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和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希腊哲学发展的梗概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第二节早期希腊哲学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米利都学派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毕达哥拉斯学派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赫拉克利特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爱利亚学派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hanging="720" w:hanging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第三节鼎盛时期的希腊哲学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智者派、原子论者、苏格拉底、柏拉图、亚里士多德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hanging="720" w:hanging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第四节希腊哲学的衰颓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伊壁鸠鲁学派、斯多葛学派、怀疑主义、新柏拉图主义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hanging="720" w:hanging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第二章中世纪基督教哲学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中世纪基督教哲学概况及发展线索、教父哲学、经院哲学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hanging="720" w:hanging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第三章16-18世纪西欧哲学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hanging="720" w:hanging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第一节概论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leftChars="300"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16-18世纪西欧哲学的发展线索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hanging="840" w:hangingChars="35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第二节文艺复兴与宗教改革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文艺复兴、人文主义、宗教改革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hanging="840" w:hangingChars="35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第三节早期经验论哲学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5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弗兰西斯·培根、霍布斯、洛克、英国自然神论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hanging="840" w:hangingChars="35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第四节唯理论哲学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笛卡尔、斯宾诺莎、莱布尼茨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hanging="840" w:hangingChars="35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第五节晚期经验论哲学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贝克莱、休谟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hanging="840" w:hangingChars="35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第六节 18世纪法国哲学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hanging="840" w:hangingChars="35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自然神论者（伏尔泰、孟德斯鸠、卢梭）、法国唯物主义者（狄德罗、拉美特利、爱尔维修、霍尔巴赫）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hanging="720" w:hanging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第四章德国古典哲学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hanging="720" w:hanging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 xml:space="preserve">      德国古典哲学的背景与发展线索，康德、费希特、谢林、黑格尔等德国古典哲学家的思想。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hanging="720" w:hanging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第五章近代哲学的终结与向现代哲学的过渡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费尔巴哈的直观唯物主义、马克思的实践唯物主义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35" w:firstLine="0" w:firstLineChars="0"/>
        <w:textAlignment w:val="auto"/>
        <w:rPr>
          <w:rFonts w:hint="eastAsia" w:ascii="宋体" w:hAnsi="宋体" w:eastAsia="宋体" w:cs="宋体"/>
          <w:color w:val="656565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E5450C"/>
    <w:multiLevelType w:val="multilevel"/>
    <w:tmpl w:val="05E5450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983E33"/>
    <w:multiLevelType w:val="multilevel"/>
    <w:tmpl w:val="09983E3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AD4EAB"/>
    <w:multiLevelType w:val="multilevel"/>
    <w:tmpl w:val="20AD4EA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7E61C2"/>
    <w:multiLevelType w:val="singleLevel"/>
    <w:tmpl w:val="357E61C2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abstractNum w:abstractNumId="4">
    <w:nsid w:val="4659176F"/>
    <w:multiLevelType w:val="multilevel"/>
    <w:tmpl w:val="4659176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DE62CD7"/>
    <w:multiLevelType w:val="multilevel"/>
    <w:tmpl w:val="7DE62CD7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B5"/>
    <w:rsid w:val="00194C29"/>
    <w:rsid w:val="002C0B7E"/>
    <w:rsid w:val="0037126F"/>
    <w:rsid w:val="003A0B98"/>
    <w:rsid w:val="00462839"/>
    <w:rsid w:val="00475013"/>
    <w:rsid w:val="005762AD"/>
    <w:rsid w:val="00624887"/>
    <w:rsid w:val="006725B4"/>
    <w:rsid w:val="00684BB5"/>
    <w:rsid w:val="008751A2"/>
    <w:rsid w:val="009229C3"/>
    <w:rsid w:val="00942788"/>
    <w:rsid w:val="00946313"/>
    <w:rsid w:val="00A36E7C"/>
    <w:rsid w:val="00B11DBC"/>
    <w:rsid w:val="00B5749E"/>
    <w:rsid w:val="00BD5FEC"/>
    <w:rsid w:val="00BF3646"/>
    <w:rsid w:val="00C55ADE"/>
    <w:rsid w:val="00C936A8"/>
    <w:rsid w:val="00D45DF3"/>
    <w:rsid w:val="105C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0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</Words>
  <Characters>1176</Characters>
  <Lines>9</Lines>
  <Paragraphs>2</Paragraphs>
  <TotalTime>7</TotalTime>
  <ScaleCrop>false</ScaleCrop>
  <LinksUpToDate>false</LinksUpToDate>
  <CharactersWithSpaces>1380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2019-10-27T11:33:00Z</dcterms:created>
  <dc:creator>li lian</dc:creator>
  <cp:lastModifiedBy>Administrator</cp:lastModifiedBy>
  <dcterms:modified xsi:type="dcterms:W3CDTF">2021-09-18T01:58:37Z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2600E243AFCE4874A05B256B7AF69D5C</vt:lpwstr>
  </property>
</Properties>
</file>